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angle="-135" method="linear sigma" type="gradient"/>
    </v:background>
  </w:background>
  <w:body>
    <w:tbl>
      <w:tblPr>
        <w:tblStyle w:val="Tablaconcuadrcula"/>
        <w:tblW w:w="0" w:type="auto"/>
        <w:tblLook w:val="04A0"/>
      </w:tblPr>
      <w:tblGrid>
        <w:gridCol w:w="1668"/>
        <w:gridCol w:w="1686"/>
        <w:gridCol w:w="1447"/>
        <w:gridCol w:w="2371"/>
        <w:gridCol w:w="1548"/>
      </w:tblGrid>
      <w:tr w:rsidR="004E6216" w:rsidTr="00155F28">
        <w:trPr>
          <w:trHeight w:val="3525"/>
        </w:trPr>
        <w:tc>
          <w:tcPr>
            <w:tcW w:w="4105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B058A9" w:rsidRPr="00B058A9" w:rsidRDefault="00B058A9" w:rsidP="00CB3889">
            <w:pPr>
              <w:pStyle w:val="Ttulo2"/>
              <w:jc w:val="center"/>
              <w:rPr>
                <w:color w:val="auto"/>
              </w:rPr>
            </w:pPr>
            <w:r w:rsidRPr="00B058A9">
              <w:rPr>
                <w:rStyle w:val="mw-headline"/>
                <w:color w:val="auto"/>
              </w:rPr>
              <w:t>Música en la Prehistoria</w:t>
            </w:r>
          </w:p>
          <w:p w:rsidR="004E6216" w:rsidRDefault="00B058A9" w:rsidP="00CB3889">
            <w:pPr>
              <w:jc w:val="both"/>
            </w:pPr>
            <w:r>
              <w:t>Se ha demostrado la íntima relación entre la especie humana y la música, y mientras que algunas interpretaciones tradicionales vinculaban su surgimiento a actividades intelectuales vinculadas al concepto de lo sobrenatural (haciéndola cumplir una función de finalidad supersticiosa, mágica o religiosa), actualmente se la relaciona con los rituales de apareamiento y con el trabajo colectivo.</w:t>
            </w:r>
          </w:p>
        </w:tc>
        <w:tc>
          <w:tcPr>
            <w:tcW w:w="4539" w:type="dxa"/>
            <w:gridSpan w:val="2"/>
            <w:vMerge w:val="restart"/>
            <w:tcBorders>
              <w:left w:val="single" w:sz="4" w:space="0" w:color="auto"/>
            </w:tcBorders>
          </w:tcPr>
          <w:p w:rsidR="007427EC" w:rsidRDefault="007427EC" w:rsidP="00CB3889">
            <w:pPr>
              <w:pStyle w:val="NormalWeb"/>
              <w:jc w:val="both"/>
            </w:pPr>
            <w:r>
              <w:t>En el s.IV a. C. los teóricos chinos trataron de archivar las quintas para alcanzar la octava, es decir, intentaron el temperamento igual, pero solo en el año 1596 el Príncipe Tsai-Yu propone afinar los tubos según un principio equivalente al temperamento igual.</w:t>
            </w:r>
          </w:p>
          <w:p w:rsidR="007427EC" w:rsidRDefault="007427EC" w:rsidP="00CB3889">
            <w:pPr>
              <w:pStyle w:val="NormalWeb"/>
              <w:jc w:val="both"/>
            </w:pPr>
            <w:r>
              <w:t>Para que la afinación de los lu no se alterara, los construyeron en piedra o metal, materiales más durables que las cañas de bambú. Los lu construidos con lajas constituyeron los litofonos o carrillones de piedra. En un comienzo eran doce lajas, luego se añadían seis más</w:t>
            </w:r>
          </w:p>
          <w:p w:rsidR="004E6216" w:rsidRDefault="004E6216" w:rsidP="00AE06E7"/>
        </w:tc>
      </w:tr>
      <w:tr w:rsidR="004E6216" w:rsidTr="004E6216">
        <w:trPr>
          <w:trHeight w:val="1378"/>
        </w:trPr>
        <w:tc>
          <w:tcPr>
            <w:tcW w:w="4105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E6216" w:rsidRDefault="00A85810" w:rsidP="00AE06E7">
            <w:r>
              <w:rPr>
                <w:noProof/>
                <w:lang w:eastAsia="es-ES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123190</wp:posOffset>
                  </wp:positionV>
                  <wp:extent cx="2478405" cy="1746885"/>
                  <wp:effectExtent l="19050" t="0" r="0" b="0"/>
                  <wp:wrapTight wrapText="bothSides">
                    <wp:wrapPolygon edited="0">
                      <wp:start x="-166" y="0"/>
                      <wp:lineTo x="-166" y="21435"/>
                      <wp:lineTo x="21583" y="21435"/>
                      <wp:lineTo x="21583" y="0"/>
                      <wp:lineTo x="-166" y="0"/>
                    </wp:wrapPolygon>
                  </wp:wrapTight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05" cy="174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9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E6216" w:rsidRDefault="004E6216" w:rsidP="00AE06E7"/>
        </w:tc>
      </w:tr>
      <w:tr w:rsidR="004E6216" w:rsidTr="004E6216">
        <w:trPr>
          <w:trHeight w:val="1849"/>
        </w:trPr>
        <w:tc>
          <w:tcPr>
            <w:tcW w:w="4105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E6216" w:rsidRDefault="004E6216" w:rsidP="00AE06E7"/>
        </w:tc>
        <w:tc>
          <w:tcPr>
            <w:tcW w:w="22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6216" w:rsidRDefault="007427EC" w:rsidP="00CB388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Otros tipos de liturgia</w:t>
            </w:r>
          </w:p>
          <w:p w:rsidR="007427EC" w:rsidRDefault="007427EC" w:rsidP="00CB3889">
            <w:pPr>
              <w:jc w:val="center"/>
              <w:rPr>
                <w:b/>
                <w:bCs/>
              </w:rPr>
            </w:pPr>
          </w:p>
          <w:p w:rsidR="007427EC" w:rsidRDefault="007427EC" w:rsidP="00CB3889">
            <w:pPr>
              <w:pStyle w:val="Prrafodelista"/>
              <w:numPr>
                <w:ilvl w:val="0"/>
                <w:numId w:val="1"/>
              </w:numPr>
              <w:jc w:val="center"/>
            </w:pPr>
            <w:hyperlink r:id="rId9" w:tooltip="Rito ambrosiano" w:history="1">
              <w:r>
                <w:rPr>
                  <w:rStyle w:val="Hipervnculo"/>
                </w:rPr>
                <w:t>Ambrosiana o milanesa</w:t>
              </w:r>
            </w:hyperlink>
            <w:r>
              <w:t>: canto de finales del siglo IV, que crea el himno e influye en el canto gregoriano que será el nuevo canto oficial.</w:t>
            </w:r>
          </w:p>
          <w:p w:rsidR="00DF2E88" w:rsidRDefault="00DF2E88" w:rsidP="00CB3889">
            <w:pPr>
              <w:jc w:val="center"/>
            </w:pPr>
          </w:p>
          <w:p w:rsidR="007427EC" w:rsidRDefault="007427EC" w:rsidP="00CB3889">
            <w:pPr>
              <w:pStyle w:val="Prrafodelista"/>
              <w:numPr>
                <w:ilvl w:val="0"/>
                <w:numId w:val="1"/>
              </w:numPr>
              <w:jc w:val="center"/>
            </w:pPr>
            <w:hyperlink r:id="rId10" w:tooltip="Liturgia hispánica" w:history="1">
              <w:r>
                <w:rPr>
                  <w:rStyle w:val="Hipervnculo"/>
                </w:rPr>
                <w:t>Mozárabe</w:t>
              </w:r>
            </w:hyperlink>
            <w:r>
              <w:t xml:space="preserve">: canto mantenido en las regiones de Al-Andalus, los centros serán Córdoba, Sevilla, Toledo y Zaragoza. En 1076, es sustituido por el canto gregoriano, </w:t>
            </w:r>
            <w:r>
              <w:lastRenderedPageBreak/>
              <w:t>menos en aquellas ciudades que solicitaban una dispensa para mantener su propio canto, como fue la ciudad de Toledo.</w:t>
            </w:r>
          </w:p>
          <w:p w:rsidR="00DF2E88" w:rsidRDefault="00DF2E88" w:rsidP="00CB3889">
            <w:pPr>
              <w:pStyle w:val="Prrafodelista"/>
              <w:jc w:val="center"/>
            </w:pPr>
          </w:p>
          <w:p w:rsidR="00DF2E88" w:rsidRDefault="00DF2E88" w:rsidP="00CB3889">
            <w:pPr>
              <w:pStyle w:val="Prrafodelista"/>
              <w:numPr>
                <w:ilvl w:val="0"/>
                <w:numId w:val="1"/>
              </w:numPr>
              <w:jc w:val="center"/>
            </w:pPr>
            <w:hyperlink r:id="rId11" w:tooltip="Galicanismo" w:history="1">
              <w:r>
                <w:rPr>
                  <w:rStyle w:val="Hipervnculo"/>
                </w:rPr>
                <w:t>Galicano</w:t>
              </w:r>
            </w:hyperlink>
            <w:r>
              <w:t>: canto propio de la Iglesia franca que fue sustituido por la liturgia romana.</w:t>
            </w:r>
          </w:p>
          <w:p w:rsidR="00DF2E88" w:rsidRDefault="00DF2E88" w:rsidP="00CB3889">
            <w:pPr>
              <w:jc w:val="center"/>
            </w:pPr>
          </w:p>
          <w:p w:rsidR="00DF2E88" w:rsidRDefault="00DF2E88" w:rsidP="00CB3889">
            <w:pPr>
              <w:jc w:val="center"/>
            </w:pPr>
          </w:p>
        </w:tc>
        <w:tc>
          <w:tcPr>
            <w:tcW w:w="228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B3889" w:rsidRPr="00CB3889" w:rsidRDefault="00CB3889" w:rsidP="00CB3889">
            <w:pPr>
              <w:pStyle w:val="Ttulo3"/>
              <w:jc w:val="center"/>
              <w:rPr>
                <w:color w:val="auto"/>
              </w:rPr>
            </w:pPr>
            <w:r w:rsidRPr="00CB3889">
              <w:rPr>
                <w:rStyle w:val="mw-headline"/>
                <w:color w:val="auto"/>
              </w:rPr>
              <w:lastRenderedPageBreak/>
              <w:t>Música renacentista italiana</w:t>
            </w:r>
          </w:p>
          <w:p w:rsidR="004E6216" w:rsidRDefault="00613381" w:rsidP="00AE06E7">
            <w:r>
              <w:t>La música italiana se vio condicionada por el papel que ocuparon los compositores flamencos como: Adrian Willaert y sus discípulos que trasplantaron el estilo polifónico holandés. En menos de un siglo, Italia reemplazó a los Países Bajos como centro de la vida musical europea.</w:t>
            </w:r>
          </w:p>
        </w:tc>
      </w:tr>
      <w:tr w:rsidR="00613381" w:rsidTr="004E6216">
        <w:trPr>
          <w:trHeight w:val="2644"/>
        </w:trPr>
        <w:tc>
          <w:tcPr>
            <w:tcW w:w="124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E6216" w:rsidRDefault="00613381" w:rsidP="00AE06E7">
            <w:r>
              <w:rPr>
                <w:noProof/>
                <w:lang w:eastAsia="es-ES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-2331085</wp:posOffset>
                  </wp:positionV>
                  <wp:extent cx="902970" cy="1077595"/>
                  <wp:effectExtent l="19050" t="0" r="0" b="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107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E6216" w:rsidRDefault="00613381" w:rsidP="00AE06E7">
            <w:r>
              <w:rPr>
                <w:noProof/>
                <w:lang w:eastAsia="es-ES"/>
              </w:rPr>
              <w:drawing>
                <wp:inline distT="0" distB="0" distL="0" distR="0">
                  <wp:extent cx="913437" cy="1078173"/>
                  <wp:effectExtent l="19050" t="0" r="963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09" cy="1080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E6216" w:rsidRDefault="00AA378C" w:rsidP="00AE06E7">
            <w:r>
              <w:rPr>
                <w:noProof/>
                <w:lang w:eastAsia="es-ES"/>
              </w:rPr>
              <w:drawing>
                <wp:inline distT="0" distB="0" distL="0" distR="0">
                  <wp:extent cx="758012" cy="1555844"/>
                  <wp:effectExtent l="19050" t="0" r="3988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547" cy="1561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6216" w:rsidRDefault="004E6216" w:rsidP="00AE06E7"/>
        </w:tc>
        <w:tc>
          <w:tcPr>
            <w:tcW w:w="228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E6216" w:rsidRDefault="004E6216" w:rsidP="00AE06E7"/>
        </w:tc>
      </w:tr>
      <w:tr w:rsidR="00613381" w:rsidTr="004E6216">
        <w:trPr>
          <w:trHeight w:val="4277"/>
        </w:trPr>
        <w:tc>
          <w:tcPr>
            <w:tcW w:w="1247" w:type="dxa"/>
            <w:vMerge/>
            <w:tcBorders>
              <w:right w:val="single" w:sz="4" w:space="0" w:color="auto"/>
            </w:tcBorders>
          </w:tcPr>
          <w:p w:rsidR="004E6216" w:rsidRDefault="004E6216" w:rsidP="00AE06E7"/>
        </w:tc>
        <w:tc>
          <w:tcPr>
            <w:tcW w:w="1397" w:type="dxa"/>
            <w:vMerge/>
            <w:tcBorders>
              <w:right w:val="single" w:sz="4" w:space="0" w:color="auto"/>
            </w:tcBorders>
          </w:tcPr>
          <w:p w:rsidR="004E6216" w:rsidRDefault="004E6216" w:rsidP="00AE06E7"/>
        </w:tc>
        <w:tc>
          <w:tcPr>
            <w:tcW w:w="1461" w:type="dxa"/>
            <w:vMerge/>
            <w:tcBorders>
              <w:right w:val="single" w:sz="4" w:space="0" w:color="auto"/>
            </w:tcBorders>
          </w:tcPr>
          <w:p w:rsidR="004E6216" w:rsidRDefault="004E6216" w:rsidP="00AE06E7"/>
        </w:tc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6216" w:rsidRDefault="004E6216" w:rsidP="00AE06E7"/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</w:tcBorders>
          </w:tcPr>
          <w:p w:rsidR="004E6216" w:rsidRDefault="00613381" w:rsidP="00AE06E7">
            <w:r>
              <w:t xml:space="preserve">Existían dos tipos de formas musicales: las </w:t>
            </w:r>
            <w:r>
              <w:rPr>
                <w:i/>
                <w:iCs/>
              </w:rPr>
              <w:t>frottole</w:t>
            </w:r>
            <w:r>
              <w:t xml:space="preserve"> (</w:t>
            </w:r>
            <w:r>
              <w:rPr>
                <w:i/>
                <w:iCs/>
              </w:rPr>
              <w:t>frottola</w:t>
            </w:r>
            <w:r>
              <w:t xml:space="preserve"> en singular), eran canciones estróficas, silábicamente musicalizadas a cuatro voces, con esquemas rítmicos marcados, armonías diatónicas y un estilo homófono con la melodía en la voz superior.</w:t>
            </w:r>
          </w:p>
        </w:tc>
      </w:tr>
    </w:tbl>
    <w:p w:rsidR="00E7776E" w:rsidRDefault="00E7776E" w:rsidP="00AE06E7"/>
    <w:tbl>
      <w:tblPr>
        <w:tblW w:w="8672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420"/>
        <w:gridCol w:w="4252"/>
      </w:tblGrid>
      <w:tr w:rsidR="00E7776E" w:rsidTr="00E7776E">
        <w:tblPrEx>
          <w:tblCellMar>
            <w:top w:w="0" w:type="dxa"/>
            <w:bottom w:w="0" w:type="dxa"/>
          </w:tblCellMar>
        </w:tblPrEx>
        <w:trPr>
          <w:trHeight w:val="3160"/>
        </w:trPr>
        <w:tc>
          <w:tcPr>
            <w:tcW w:w="4420" w:type="dxa"/>
          </w:tcPr>
          <w:p w:rsidR="006F1815" w:rsidRPr="006F1815" w:rsidRDefault="006F1815" w:rsidP="006F1815">
            <w:pPr>
              <w:pStyle w:val="Ttulo3"/>
              <w:jc w:val="both"/>
              <w:rPr>
                <w:color w:val="auto"/>
              </w:rPr>
            </w:pPr>
            <w:r w:rsidRPr="006F1815">
              <w:rPr>
                <w:rStyle w:val="mw-headline"/>
                <w:color w:val="auto"/>
              </w:rPr>
              <w:lastRenderedPageBreak/>
              <w:t>Música renacentista alemana</w:t>
            </w:r>
          </w:p>
          <w:p w:rsidR="006F1815" w:rsidRDefault="006F1815" w:rsidP="006F1815">
            <w:pPr>
              <w:pStyle w:val="NormalWeb"/>
              <w:jc w:val="both"/>
            </w:pPr>
            <w:r>
              <w:t xml:space="preserve">Durante el siglo XVII, Alemania vivía la guerra de los 30 años, el Sacro Imperio Germánico a cargo del Emperador Felipe II y de su hermano Fernando I, enfrentaba una guerra contra el protestantismo en Alemania, por tanto las artes en Alemania sufrían una fuerte represión por parte del clero antes y durante la guerra; entre otros, no era permitido componer en alemán, sin embargo se dio la paz de Westfalia, por la intervención del cardenal Richelieu en la guerra, y las artes florecieron en Alemania, entre los primeros compositores en destacarse están </w:t>
            </w:r>
            <w:hyperlink r:id="rId15" w:tooltip="Esaías Reusner (aún no redactado)" w:history="1">
              <w:r w:rsidRPr="006F1815">
                <w:rPr>
                  <w:rStyle w:val="Hipervnculo"/>
                  <w:color w:val="auto"/>
                </w:rPr>
                <w:t>Esaías Reusner</w:t>
              </w:r>
            </w:hyperlink>
            <w:r w:rsidRPr="006F1815">
              <w:t xml:space="preserve">, </w:t>
            </w:r>
            <w:hyperlink r:id="rId16" w:tooltip="Johann Pachelbel" w:history="1">
              <w:r w:rsidRPr="006F1815">
                <w:rPr>
                  <w:rStyle w:val="Hipervnculo"/>
                  <w:color w:val="auto"/>
                </w:rPr>
                <w:t>Johann Pachelbel</w:t>
              </w:r>
            </w:hyperlink>
            <w:r w:rsidRPr="006F1815">
              <w:t xml:space="preserve"> y </w:t>
            </w:r>
            <w:hyperlink r:id="rId17" w:tooltip="H. Schütz (aún no redactado)" w:history="1">
              <w:r w:rsidRPr="006F1815">
                <w:rPr>
                  <w:rStyle w:val="Hipervnculo"/>
                  <w:color w:val="auto"/>
                </w:rPr>
                <w:t>H. Schütz</w:t>
              </w:r>
            </w:hyperlink>
          </w:p>
          <w:p w:rsidR="00E7776E" w:rsidRDefault="00E7776E" w:rsidP="006F1815">
            <w:pPr>
              <w:jc w:val="both"/>
            </w:pPr>
          </w:p>
        </w:tc>
        <w:tc>
          <w:tcPr>
            <w:tcW w:w="4252" w:type="dxa"/>
          </w:tcPr>
          <w:p w:rsidR="006F1815" w:rsidRPr="006F1815" w:rsidRDefault="006F1815" w:rsidP="006F1815">
            <w:pPr>
              <w:pStyle w:val="Ttulo3"/>
              <w:jc w:val="both"/>
              <w:rPr>
                <w:color w:val="auto"/>
              </w:rPr>
            </w:pPr>
            <w:r w:rsidRPr="006F1815">
              <w:rPr>
                <w:rStyle w:val="mw-headline"/>
                <w:color w:val="auto"/>
              </w:rPr>
              <w:t>Música renacentista española</w:t>
            </w:r>
          </w:p>
          <w:p w:rsidR="006F1815" w:rsidRPr="006F1815" w:rsidRDefault="006F1815" w:rsidP="006F1815">
            <w:pPr>
              <w:pStyle w:val="NormalWeb"/>
              <w:jc w:val="both"/>
            </w:pPr>
            <w:r w:rsidRPr="006F1815">
              <w:t xml:space="preserve">En la música renacentista española destacan las obras del compositor </w:t>
            </w:r>
            <w:hyperlink r:id="rId18" w:tooltip="Tomás Luis de Victoria" w:history="1">
              <w:r w:rsidRPr="006F1815">
                <w:rPr>
                  <w:rStyle w:val="Hipervnculo"/>
                  <w:color w:val="auto"/>
                </w:rPr>
                <w:t>Tomás Luis de Victoria</w:t>
              </w:r>
            </w:hyperlink>
            <w:r w:rsidRPr="006F1815">
              <w:t>.</w:t>
            </w:r>
          </w:p>
          <w:p w:rsidR="006F1815" w:rsidRPr="006F1815" w:rsidRDefault="006F1815" w:rsidP="006F1815">
            <w:pPr>
              <w:pStyle w:val="NormalWeb"/>
              <w:jc w:val="both"/>
            </w:pPr>
            <w:r w:rsidRPr="006F1815">
              <w:t>La música durante el renacimiento español fue fuertemente influenciada por la árabe, incluso el mismo Alfonso X el sabio compuso las cántigas bajo la influencia árabe, ya que era un gran admirador de su cultura; entre las obras más importantes del renacimiento se destacan: El Cancionero de Palacio, música de la corte de Isabel I de Castilla y Fernando II de Aragón, el cancionero Al-Andaluz,</w:t>
            </w:r>
          </w:p>
          <w:p w:rsidR="00E7776E" w:rsidRPr="006F1815" w:rsidRDefault="00E7776E" w:rsidP="006F1815">
            <w:pPr>
              <w:jc w:val="both"/>
            </w:pPr>
          </w:p>
        </w:tc>
      </w:tr>
      <w:tr w:rsidR="00E7776E" w:rsidTr="00E7776E">
        <w:tblPrEx>
          <w:tblCellMar>
            <w:top w:w="0" w:type="dxa"/>
            <w:bottom w:w="0" w:type="dxa"/>
          </w:tblCellMar>
        </w:tblPrEx>
        <w:trPr>
          <w:trHeight w:val="3525"/>
        </w:trPr>
        <w:tc>
          <w:tcPr>
            <w:tcW w:w="4420" w:type="dxa"/>
          </w:tcPr>
          <w:p w:rsidR="006F1815" w:rsidRPr="006F1815" w:rsidRDefault="006F1815" w:rsidP="006F1815">
            <w:pPr>
              <w:pStyle w:val="Ttulo3"/>
              <w:rPr>
                <w:color w:val="auto"/>
              </w:rPr>
            </w:pPr>
            <w:r w:rsidRPr="006F1815">
              <w:rPr>
                <w:rStyle w:val="mw-headline"/>
                <w:color w:val="auto"/>
              </w:rPr>
              <w:t>El bajo continuo</w:t>
            </w:r>
          </w:p>
          <w:p w:rsidR="006F1815" w:rsidRDefault="006F1815" w:rsidP="006F1815">
            <w:pPr>
              <w:pStyle w:val="NormalWeb"/>
            </w:pPr>
            <w:r>
              <w:t xml:space="preserve">También llamado continuo, designa el sistema de acompañamiento ideado a comienzos del período barroco, y es además un sistema estenográfico o taquigráfico de escritura musical. Como técnica de composición permitía al compositor trazar tan sólo el contorno de la melodía y el bajo cifrado, dejando las voces medias, o sea el relleno armónico, a la invención del continuista. La ejecución del continuo requiere dos instrumentistas: un instrumento melódico grave (viola da gamba, violoncello, contrabajo, fagot, etc.) </w:t>
            </w:r>
          </w:p>
          <w:p w:rsidR="00E7776E" w:rsidRDefault="00E7776E" w:rsidP="00AE06E7"/>
        </w:tc>
        <w:tc>
          <w:tcPr>
            <w:tcW w:w="4252" w:type="dxa"/>
          </w:tcPr>
          <w:p w:rsidR="00E7776E" w:rsidRDefault="006F1815" w:rsidP="00AE06E7">
            <w:r>
              <w:rPr>
                <w:noProof/>
                <w:lang w:eastAsia="es-ES"/>
              </w:rPr>
              <w:drawing>
                <wp:inline distT="0" distB="0" distL="0" distR="0">
                  <wp:extent cx="2565940" cy="3289111"/>
                  <wp:effectExtent l="19050" t="0" r="581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035" cy="3289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06A" w:rsidRPr="00AE06E7" w:rsidRDefault="0069506A" w:rsidP="00AE06E7"/>
    <w:sectPr w:rsidR="0069506A" w:rsidRPr="00AE06E7" w:rsidSect="0069506A">
      <w:headerReference w:type="default" r:id="rId20"/>
      <w:footerReference w:type="defaul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484D" w:rsidRDefault="0053484D" w:rsidP="00AE06E7">
      <w:pPr>
        <w:spacing w:after="0" w:line="240" w:lineRule="auto"/>
      </w:pPr>
      <w:r>
        <w:separator/>
      </w:r>
    </w:p>
  </w:endnote>
  <w:endnote w:type="continuationSeparator" w:id="1">
    <w:p w:rsidR="0053484D" w:rsidRDefault="0053484D" w:rsidP="00AE0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8030705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8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920601"/>
      <w:docPartObj>
        <w:docPartGallery w:val="Page Numbers (Bottom of Page)"/>
        <w:docPartUnique/>
      </w:docPartObj>
    </w:sdtPr>
    <w:sdtContent>
      <w:p w:rsidR="00CC1A87" w:rsidRDefault="00CC1A87">
        <w:pPr>
          <w:pStyle w:val="Piedepgina"/>
          <w:jc w:val="center"/>
        </w:pPr>
        <w:fldSimple w:instr=" PAGE   \* MERGEFORMAT ">
          <w:r w:rsidR="003760C3">
            <w:rPr>
              <w:noProof/>
            </w:rPr>
            <w:t>1</w:t>
          </w:r>
        </w:fldSimple>
      </w:p>
    </w:sdtContent>
  </w:sdt>
  <w:p w:rsidR="00CC1A87" w:rsidRDefault="00CC1A8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484D" w:rsidRDefault="0053484D" w:rsidP="00AE06E7">
      <w:pPr>
        <w:spacing w:after="0" w:line="240" w:lineRule="auto"/>
      </w:pPr>
      <w:r>
        <w:separator/>
      </w:r>
    </w:p>
  </w:footnote>
  <w:footnote w:type="continuationSeparator" w:id="1">
    <w:p w:rsidR="0053484D" w:rsidRDefault="0053484D" w:rsidP="00AE06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ítulo"/>
      <w:id w:val="77738743"/>
      <w:placeholder>
        <w:docPart w:val="48444ADFA4D14BB2A09E802CBF9BFF9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AE06E7" w:rsidRDefault="00AE06E7">
        <w:pPr>
          <w:pStyle w:val="Encabezado"/>
          <w:pBdr>
            <w:bottom w:val="thickThinSmallGap" w:sz="24" w:space="1" w:color="4A724A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Historia de la </w:t>
        </w:r>
        <w:r w:rsidR="00CC1A87">
          <w:rPr>
            <w:rFonts w:asciiTheme="majorHAnsi" w:eastAsiaTheme="majorEastAsia" w:hAnsiTheme="majorHAnsi" w:cstheme="majorBidi"/>
            <w:sz w:val="32"/>
            <w:szCs w:val="32"/>
          </w:rPr>
          <w:t>música</w:t>
        </w: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</w:t>
        </w:r>
      </w:p>
    </w:sdtContent>
  </w:sdt>
  <w:p w:rsidR="00AE06E7" w:rsidRDefault="00AE06E7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C21171"/>
    <w:multiLevelType w:val="hybridMultilevel"/>
    <w:tmpl w:val="ED9AB4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defaultTabStop w:val="708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AE06E7"/>
    <w:rsid w:val="003760C3"/>
    <w:rsid w:val="004E6216"/>
    <w:rsid w:val="0053484D"/>
    <w:rsid w:val="00613381"/>
    <w:rsid w:val="0069506A"/>
    <w:rsid w:val="006F1815"/>
    <w:rsid w:val="007427EC"/>
    <w:rsid w:val="00775775"/>
    <w:rsid w:val="007C1ACB"/>
    <w:rsid w:val="007F6C77"/>
    <w:rsid w:val="00934172"/>
    <w:rsid w:val="00A85810"/>
    <w:rsid w:val="00AA378C"/>
    <w:rsid w:val="00AE06E7"/>
    <w:rsid w:val="00B058A9"/>
    <w:rsid w:val="00CB3889"/>
    <w:rsid w:val="00CC1A87"/>
    <w:rsid w:val="00DF2E88"/>
    <w:rsid w:val="00E77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775"/>
  </w:style>
  <w:style w:type="paragraph" w:styleId="Ttulo1">
    <w:name w:val="heading 1"/>
    <w:basedOn w:val="Normal"/>
    <w:link w:val="Ttulo1Car"/>
    <w:uiPriority w:val="9"/>
    <w:qFormat/>
    <w:rsid w:val="007757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058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B38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2A376" w:themeColor="accent1"/>
    </w:rPr>
  </w:style>
  <w:style w:type="paragraph" w:styleId="Ttulo4">
    <w:name w:val="heading 4"/>
    <w:basedOn w:val="Normal"/>
    <w:link w:val="Ttulo4Car"/>
    <w:uiPriority w:val="9"/>
    <w:qFormat/>
    <w:rsid w:val="00AE06E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75775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styleId="Textoennegrita">
    <w:name w:val="Strong"/>
    <w:basedOn w:val="Fuentedeprrafopredeter"/>
    <w:uiPriority w:val="22"/>
    <w:qFormat/>
    <w:rsid w:val="00775775"/>
    <w:rPr>
      <w:b/>
      <w:bCs/>
    </w:rPr>
  </w:style>
  <w:style w:type="character" w:styleId="nfasis">
    <w:name w:val="Emphasis"/>
    <w:basedOn w:val="Fuentedeprrafopredeter"/>
    <w:uiPriority w:val="20"/>
    <w:qFormat/>
    <w:rsid w:val="00775775"/>
    <w:rPr>
      <w:i/>
      <w:iCs/>
    </w:rPr>
  </w:style>
  <w:style w:type="character" w:styleId="Ttulodellibro">
    <w:name w:val="Book Title"/>
    <w:basedOn w:val="Fuentedeprrafopredeter"/>
    <w:uiPriority w:val="33"/>
    <w:qFormat/>
    <w:rsid w:val="00775775"/>
    <w:rPr>
      <w:b/>
      <w:bCs/>
      <w:smallCaps/>
      <w:spacing w:val="5"/>
    </w:rPr>
  </w:style>
  <w:style w:type="character" w:customStyle="1" w:styleId="Ttulo4Car">
    <w:name w:val="Título 4 Car"/>
    <w:basedOn w:val="Fuentedeprrafopredeter"/>
    <w:link w:val="Ttulo4"/>
    <w:uiPriority w:val="9"/>
    <w:rsid w:val="00AE06E7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AE06E7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AE06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E06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06E7"/>
  </w:style>
  <w:style w:type="paragraph" w:styleId="Piedepgina">
    <w:name w:val="footer"/>
    <w:basedOn w:val="Normal"/>
    <w:link w:val="PiedepginaCar"/>
    <w:uiPriority w:val="99"/>
    <w:unhideWhenUsed/>
    <w:rsid w:val="00AE06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06E7"/>
  </w:style>
  <w:style w:type="paragraph" w:styleId="Textodeglobo">
    <w:name w:val="Balloon Text"/>
    <w:basedOn w:val="Normal"/>
    <w:link w:val="TextodegloboCar"/>
    <w:uiPriority w:val="99"/>
    <w:semiHidden/>
    <w:unhideWhenUsed/>
    <w:rsid w:val="00AE0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06E7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058A9"/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character" w:customStyle="1" w:styleId="mw-headline">
    <w:name w:val="mw-headline"/>
    <w:basedOn w:val="Fuentedeprrafopredeter"/>
    <w:rsid w:val="00B058A9"/>
  </w:style>
  <w:style w:type="paragraph" w:styleId="NormalWeb">
    <w:name w:val="Normal (Web)"/>
    <w:basedOn w:val="Normal"/>
    <w:uiPriority w:val="99"/>
    <w:semiHidden/>
    <w:unhideWhenUsed/>
    <w:rsid w:val="00742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7427EC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CB3889"/>
    <w:rPr>
      <w:rFonts w:asciiTheme="majorHAnsi" w:eastAsiaTheme="majorEastAsia" w:hAnsiTheme="majorHAnsi" w:cstheme="majorBidi"/>
      <w:b/>
      <w:bCs/>
      <w:color w:val="72A376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9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0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1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74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05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17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074365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436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098919">
                                  <w:blockQuote w:val="1"/>
                                  <w:marLeft w:val="9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6" w:color="CCCCCC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675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3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524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661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41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001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51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81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0977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1301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9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9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33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2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0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55894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</w:div>
            <w:div w:id="135236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61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72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0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6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7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://es.wikipedia.org/wiki/Tom%C3%A1s_Luis_de_Victoria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es.wikipedia.org/w/index.php?title=H._Sch%C3%BCtz&amp;action=edit&amp;redlink=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s.wikipedia.org/wiki/Johann_Pachelbe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s.wikipedia.org/wiki/Galicanismo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es.wikipedia.org/w/index.php?title=Esa%C3%ADas_Reusner&amp;action=edit&amp;redlink=1" TargetMode="External"/><Relationship Id="rId23" Type="http://schemas.openxmlformats.org/officeDocument/2006/relationships/glossaryDocument" Target="glossary/document.xml"/><Relationship Id="rId10" Type="http://schemas.openxmlformats.org/officeDocument/2006/relationships/hyperlink" Target="http://es.wikipedia.org/wiki/Liturgia_hisp%C3%A1nica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es.wikipedia.org/wiki/Rito_ambrosiano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8444ADFA4D14BB2A09E802CBF9BF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B980A7-0556-48CA-BAA6-BFBD713D4E28}"/>
      </w:docPartPr>
      <w:docPartBody>
        <w:p w:rsidR="00000000" w:rsidRDefault="00A71ACB" w:rsidP="00A71ACB">
          <w:pPr>
            <w:pStyle w:val="48444ADFA4D14BB2A09E802CBF9BFF9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8030705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804030504040204"/>
    <w:charset w:val="00"/>
    <w:family w:val="swiss"/>
    <w:pitch w:val="variable"/>
    <w:sig w:usb0="61002A87" w:usb1="80000000" w:usb2="00000008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A71ACB"/>
    <w:rsid w:val="00A71ACB"/>
    <w:rsid w:val="00BB6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8444ADFA4D14BB2A09E802CBF9BFF9A">
    <w:name w:val="48444ADFA4D14BB2A09E802CBF9BFF9A"/>
    <w:rsid w:val="00A71AC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Fundición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67A75-DC8F-4A0C-ACAD-13059B1BE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685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Historia de la música </vt:lpstr>
    </vt:vector>
  </TitlesOfParts>
  <Company/>
  <LinksUpToDate>false</LinksUpToDate>
  <CharactersWithSpaces>4449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Historia de la música </dc:title>
  <dc:subject/>
  <dc:creator>CARMONA</dc:creator>
  <cp:keywords/>
  <dc:description/>
  <cp:lastModifiedBy>CARMONA</cp:lastModifiedBy>
  <cp:revision>2</cp:revision>
  <cp:lastPrinted>2011-08-22T01:59:00Z</cp:lastPrinted>
  <dcterms:created xsi:type="dcterms:W3CDTF">2011-08-22T02:29:00Z</dcterms:created>
  <dcterms:modified xsi:type="dcterms:W3CDTF">2011-08-22T02:29:00Z</dcterms:modified>
</cp:coreProperties>
</file>