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9EE" w:rsidRPr="00FE2480" w:rsidRDefault="00A219EE" w:rsidP="00A219EE">
      <w:pPr>
        <w:spacing w:before="100" w:beforeAutospacing="1" w:after="100" w:afterAutospacing="1" w:line="240" w:lineRule="auto"/>
        <w:outlineLvl w:val="1"/>
        <w:rPr>
          <w:rFonts w:ascii="Arial" w:eastAsia="Times New Roman" w:hAnsi="Arial" w:cs="Arial"/>
          <w:b/>
          <w:bCs/>
          <w:sz w:val="24"/>
          <w:szCs w:val="24"/>
          <w:lang w:val="es-ES" w:eastAsia="es-PE"/>
        </w:rPr>
      </w:pPr>
      <w:r>
        <w:fldChar w:fldCharType="begin"/>
      </w:r>
      <w:r>
        <w:instrText xml:space="preserve"> HYPERLINK "http://gestionti.wordpress.com/2010/08/14/la-revolucion-del-gobierno-2-0/" \o "Enlace permanente a La Revolución del Gobierno 2.0" </w:instrText>
      </w:r>
      <w:r>
        <w:fldChar w:fldCharType="separate"/>
      </w:r>
      <w:r w:rsidRPr="00FE2480">
        <w:rPr>
          <w:rFonts w:ascii="Arial" w:eastAsia="Times New Roman" w:hAnsi="Arial" w:cs="Arial"/>
          <w:b/>
          <w:bCs/>
          <w:sz w:val="24"/>
          <w:szCs w:val="24"/>
          <w:lang w:val="es-ES" w:eastAsia="es-PE"/>
        </w:rPr>
        <w:t>La Revolución del Gobierno 2.0</w:t>
      </w:r>
      <w:r>
        <w:rPr>
          <w:rFonts w:ascii="Arial" w:eastAsia="Times New Roman" w:hAnsi="Arial" w:cs="Arial"/>
          <w:b/>
          <w:bCs/>
          <w:sz w:val="24"/>
          <w:szCs w:val="24"/>
          <w:lang w:val="es-ES" w:eastAsia="es-PE"/>
        </w:rPr>
        <w:fldChar w:fldCharType="end"/>
      </w:r>
    </w:p>
    <w:p w:rsidR="00A219EE" w:rsidRDefault="00A219EE" w:rsidP="00A219EE">
      <w:pPr>
        <w:spacing w:before="100" w:beforeAutospacing="1" w:after="100" w:afterAutospacing="1" w:line="240" w:lineRule="auto"/>
        <w:jc w:val="center"/>
        <w:rPr>
          <w:rFonts w:ascii="Times New Roman" w:eastAsia="Times New Roman" w:hAnsi="Times New Roman" w:cs="Times New Roman"/>
          <w:sz w:val="24"/>
          <w:szCs w:val="24"/>
          <w:lang w:val="es-ES" w:eastAsia="es-PE"/>
        </w:rPr>
      </w:pPr>
      <w:r w:rsidRPr="00851E8E">
        <w:rPr>
          <w:rFonts w:ascii="Times New Roman" w:eastAsia="Times New Roman" w:hAnsi="Times New Roman" w:cs="Times New Roman"/>
          <w:noProof/>
          <w:sz w:val="24"/>
          <w:szCs w:val="24"/>
          <w:lang w:val="es-ES" w:eastAsia="es-ES"/>
        </w:rPr>
        <w:drawing>
          <wp:inline distT="0" distB="0" distL="0" distR="0" wp14:anchorId="6CFBBD01" wp14:editId="108ED304">
            <wp:extent cx="3352800" cy="2222052"/>
            <wp:effectExtent l="247650" t="266700" r="285750" b="311785"/>
            <wp:docPr id="10" name="Imagen 10" descr="http://gesvin.files.wordpress.com/2010/08/empoderamiento.jpg?w=255&amp;h=169&amp;h=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svin.files.wordpress.com/2010/08/empoderamiento.jpg?w=255&amp;h=169&amp;h=169"/>
                    <pic:cNvPicPr>
                      <a:picLocks noChangeAspect="1" noChangeArrowheads="1"/>
                    </pic:cNvPicPr>
                  </pic:nvPicPr>
                  <pic:blipFill>
                    <a:blip r:embed="rId5"/>
                    <a:srcRect/>
                    <a:stretch>
                      <a:fillRect/>
                    </a:stretch>
                  </pic:blipFill>
                  <pic:spPr bwMode="auto">
                    <a:xfrm>
                      <a:off x="0" y="0"/>
                      <a:ext cx="3352800" cy="2222052"/>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A219EE" w:rsidRPr="00FE2480" w:rsidRDefault="00A219EE" w:rsidP="00A219EE">
      <w:pPr>
        <w:spacing w:before="100" w:beforeAutospacing="1" w:after="100" w:afterAutospacing="1" w:line="240" w:lineRule="auto"/>
        <w:rPr>
          <w:rFonts w:ascii="Arial" w:eastAsia="Times New Roman" w:hAnsi="Arial" w:cs="Arial"/>
          <w:lang w:val="es-ES" w:eastAsia="es-PE"/>
        </w:rPr>
      </w:pPr>
      <w:r w:rsidRPr="00FE2480">
        <w:rPr>
          <w:rFonts w:ascii="Arial" w:eastAsia="Times New Roman" w:hAnsi="Arial" w:cs="Arial"/>
          <w:lang w:val="es-ES" w:eastAsia="es-PE"/>
        </w:rPr>
        <w:t>Si el Gobierno Electrónico concentra sus esfuerzos en fomentar la transparencia de la información en la administración pública, su evolución ha dado origen al concepto de Gobierno 2.0 llamado también “Gobierno Abierto” cuyo valor agregado consiste en ahondar la comunicación y la participación ciudadana con los órganos de gobierno a todo nivel. En términos prácticos nos referimos a espacios oficiales en Internet donde los ciudadanos se informan, se relacionan y participan directamente con los equipos de gobierno. Hablamos entonces de políticas comprometidas con el empoderamiento de la sociedad civil.</w:t>
      </w:r>
    </w:p>
    <w:p w:rsidR="00A219EE" w:rsidRPr="00FE2480" w:rsidRDefault="00A219EE" w:rsidP="00A219EE">
      <w:pPr>
        <w:spacing w:before="100" w:beforeAutospacing="1" w:after="100" w:afterAutospacing="1" w:line="240" w:lineRule="auto"/>
        <w:rPr>
          <w:rFonts w:ascii="Arial" w:eastAsia="Times New Roman" w:hAnsi="Arial" w:cs="Arial"/>
          <w:lang w:val="es-ES" w:eastAsia="es-PE"/>
        </w:rPr>
      </w:pPr>
      <w:r w:rsidRPr="00FE2480">
        <w:rPr>
          <w:rFonts w:ascii="Arial" w:eastAsia="Times New Roman" w:hAnsi="Arial" w:cs="Arial"/>
          <w:lang w:val="es-ES" w:eastAsia="es-PE"/>
        </w:rPr>
        <w:t>La necesidad de sistematizar los servicios al ciudadano deviene del hecho que durante mucho tiempo el secretismo se ha convertido en una suerte de cultura en la administración pública, esto además de constituir una práctica totalmente desfasada en el mundo moderno, fomenta el fraude y la corrupción, los que su vez provocan el repudio y la desconfianza de la ciudadanía. En respuesta a ello se hace necesario contar con verdaderos mecanismos legales que permitan a los ciudadanos acceder a la información pública y que en caso de duda “prevalezca la apertura”, este enfoque constituye la base de un gobierno abierto.</w:t>
      </w:r>
    </w:p>
    <w:p w:rsidR="00A219EE" w:rsidRPr="00FE2480" w:rsidRDefault="00A219EE" w:rsidP="00A219EE">
      <w:pPr>
        <w:spacing w:before="100" w:beforeAutospacing="1" w:after="100" w:afterAutospacing="1" w:line="240" w:lineRule="auto"/>
        <w:rPr>
          <w:rFonts w:ascii="Arial" w:eastAsia="Times New Roman" w:hAnsi="Arial" w:cs="Arial"/>
          <w:lang w:val="es-ES" w:eastAsia="es-PE"/>
        </w:rPr>
      </w:pPr>
      <w:r w:rsidRPr="00FE2480">
        <w:rPr>
          <w:rFonts w:ascii="Arial" w:eastAsia="Times New Roman" w:hAnsi="Arial" w:cs="Arial"/>
          <w:lang w:val="es-ES" w:eastAsia="es-PE"/>
        </w:rPr>
        <w:t>Principios de apertura:</w:t>
      </w:r>
    </w:p>
    <w:p w:rsidR="00A219EE" w:rsidRPr="00FE2480" w:rsidRDefault="00A219EE" w:rsidP="00A219EE">
      <w:pPr>
        <w:spacing w:before="100" w:beforeAutospacing="1" w:after="100" w:afterAutospacing="1" w:line="240" w:lineRule="auto"/>
        <w:rPr>
          <w:rFonts w:ascii="Arial" w:eastAsia="Times New Roman" w:hAnsi="Arial" w:cs="Arial"/>
          <w:lang w:val="es-ES" w:eastAsia="es-PE"/>
        </w:rPr>
      </w:pPr>
      <w:r w:rsidRPr="00FE2480">
        <w:rPr>
          <w:rFonts w:ascii="Arial" w:eastAsia="Times New Roman" w:hAnsi="Arial" w:cs="Arial"/>
          <w:lang w:val="es-ES" w:eastAsia="es-PE"/>
        </w:rPr>
        <w:t xml:space="preserve">a) </w:t>
      </w:r>
      <w:r w:rsidRPr="00FE2480">
        <w:rPr>
          <w:rFonts w:ascii="Arial" w:eastAsia="Times New Roman" w:hAnsi="Arial" w:cs="Arial"/>
          <w:b/>
          <w:bCs/>
          <w:i/>
          <w:iCs/>
          <w:lang w:val="es-ES" w:eastAsia="es-PE"/>
        </w:rPr>
        <w:t>Comunicación</w:t>
      </w:r>
      <w:r w:rsidRPr="00FE2480">
        <w:rPr>
          <w:rFonts w:ascii="Arial" w:eastAsia="Times New Roman" w:hAnsi="Arial" w:cs="Arial"/>
          <w:lang w:val="es-ES" w:eastAsia="es-PE"/>
        </w:rPr>
        <w:t>: Es decir, el acceso a información oficial de forma rápida, oportuna y haciendo uso de las Nuevas Tecnologías Digitales (</w:t>
      </w:r>
      <w:proofErr w:type="spellStart"/>
      <w:r w:rsidRPr="00FE2480">
        <w:rPr>
          <w:rFonts w:ascii="Arial" w:eastAsia="Times New Roman" w:hAnsi="Arial" w:cs="Arial"/>
          <w:lang w:val="es-ES" w:eastAsia="es-PE"/>
        </w:rPr>
        <w:t>NTDs</w:t>
      </w:r>
      <w:proofErr w:type="spellEnd"/>
      <w:r w:rsidRPr="00FE2480">
        <w:rPr>
          <w:rFonts w:ascii="Arial" w:eastAsia="Times New Roman" w:hAnsi="Arial" w:cs="Arial"/>
          <w:lang w:val="es-ES" w:eastAsia="es-PE"/>
        </w:rPr>
        <w:t>).</w:t>
      </w:r>
    </w:p>
    <w:p w:rsidR="00A219EE" w:rsidRPr="00FE2480" w:rsidRDefault="00A219EE" w:rsidP="00A219EE">
      <w:pPr>
        <w:spacing w:before="100" w:beforeAutospacing="1" w:after="100" w:afterAutospacing="1" w:line="240" w:lineRule="auto"/>
        <w:rPr>
          <w:rFonts w:ascii="Arial" w:eastAsia="Times New Roman" w:hAnsi="Arial" w:cs="Arial"/>
          <w:lang w:val="es-ES" w:eastAsia="es-PE"/>
        </w:rPr>
      </w:pPr>
      <w:r w:rsidRPr="00FE2480">
        <w:rPr>
          <w:rFonts w:ascii="Arial" w:eastAsia="Times New Roman" w:hAnsi="Arial" w:cs="Arial"/>
          <w:lang w:val="es-ES" w:eastAsia="es-PE"/>
        </w:rPr>
        <w:t xml:space="preserve">b) </w:t>
      </w:r>
      <w:r w:rsidRPr="00FE2480">
        <w:rPr>
          <w:rFonts w:ascii="Arial" w:eastAsia="Times New Roman" w:hAnsi="Arial" w:cs="Arial"/>
          <w:b/>
          <w:bCs/>
          <w:i/>
          <w:iCs/>
          <w:lang w:val="es-ES" w:eastAsia="es-PE"/>
        </w:rPr>
        <w:t>Transparencia</w:t>
      </w:r>
      <w:r w:rsidRPr="00FE2480">
        <w:rPr>
          <w:rFonts w:ascii="Arial" w:eastAsia="Times New Roman" w:hAnsi="Arial" w:cs="Arial"/>
          <w:lang w:val="es-ES" w:eastAsia="es-PE"/>
        </w:rPr>
        <w:t>: Se refiere a la publicación oficial de los datos así como de las decisiones tomadas por la administración.</w:t>
      </w:r>
    </w:p>
    <w:p w:rsidR="00A219EE" w:rsidRPr="00FE2480" w:rsidRDefault="00A219EE" w:rsidP="00A219EE">
      <w:pPr>
        <w:spacing w:before="100" w:beforeAutospacing="1" w:after="100" w:afterAutospacing="1" w:line="240" w:lineRule="auto"/>
        <w:rPr>
          <w:rFonts w:ascii="Arial" w:eastAsia="Times New Roman" w:hAnsi="Arial" w:cs="Arial"/>
          <w:lang w:val="es-ES" w:eastAsia="es-PE"/>
        </w:rPr>
      </w:pPr>
      <w:r w:rsidRPr="00FE2480">
        <w:rPr>
          <w:rFonts w:ascii="Arial" w:eastAsia="Times New Roman" w:hAnsi="Arial" w:cs="Arial"/>
          <w:lang w:val="es-ES" w:eastAsia="es-PE"/>
        </w:rPr>
        <w:t xml:space="preserve">c) </w:t>
      </w:r>
      <w:r w:rsidRPr="00FE2480">
        <w:rPr>
          <w:rFonts w:ascii="Arial" w:eastAsia="Times New Roman" w:hAnsi="Arial" w:cs="Arial"/>
          <w:b/>
          <w:bCs/>
          <w:i/>
          <w:iCs/>
          <w:lang w:val="es-ES" w:eastAsia="es-PE"/>
        </w:rPr>
        <w:t>Participación y colaboración</w:t>
      </w:r>
      <w:r w:rsidRPr="00FE2480">
        <w:rPr>
          <w:rFonts w:ascii="Arial" w:eastAsia="Times New Roman" w:hAnsi="Arial" w:cs="Arial"/>
          <w:lang w:val="es-ES" w:eastAsia="es-PE"/>
        </w:rPr>
        <w:t xml:space="preserve">: Por ejemplo que los ciudadanos tengan cinco días para comentar las leyes, proyectos, ordenanzas, etc. antes de su firma y/o promulgación. En este punto es requisito indispensable el uso de las </w:t>
      </w:r>
      <w:proofErr w:type="spellStart"/>
      <w:r w:rsidRPr="00FE2480">
        <w:rPr>
          <w:rFonts w:ascii="Arial" w:eastAsia="Times New Roman" w:hAnsi="Arial" w:cs="Arial"/>
          <w:lang w:val="es-ES" w:eastAsia="es-PE"/>
        </w:rPr>
        <w:t>NTDs</w:t>
      </w:r>
      <w:proofErr w:type="spellEnd"/>
      <w:r w:rsidRPr="00FE2480">
        <w:rPr>
          <w:rFonts w:ascii="Arial" w:eastAsia="Times New Roman" w:hAnsi="Arial" w:cs="Arial"/>
          <w:lang w:val="es-ES" w:eastAsia="es-PE"/>
        </w:rPr>
        <w:t xml:space="preserve"> para hacer accesibles y reutilizables los datos públicos.</w:t>
      </w:r>
    </w:p>
    <w:p w:rsidR="00A219EE" w:rsidRPr="00FE2480" w:rsidRDefault="00A219EE" w:rsidP="00A219EE">
      <w:pPr>
        <w:spacing w:before="100" w:beforeAutospacing="1" w:after="100" w:afterAutospacing="1" w:line="240" w:lineRule="auto"/>
        <w:rPr>
          <w:rFonts w:ascii="Arial" w:eastAsia="Times New Roman" w:hAnsi="Arial" w:cs="Arial"/>
          <w:lang w:val="es-ES" w:eastAsia="es-PE"/>
        </w:rPr>
      </w:pPr>
      <w:r w:rsidRPr="00FE2480">
        <w:rPr>
          <w:rFonts w:ascii="Arial" w:eastAsia="Times New Roman" w:hAnsi="Arial" w:cs="Arial"/>
          <w:lang w:val="es-ES" w:eastAsia="es-PE"/>
        </w:rPr>
        <w:t xml:space="preserve">d) </w:t>
      </w:r>
      <w:r w:rsidRPr="00FE2480">
        <w:rPr>
          <w:rFonts w:ascii="Arial" w:eastAsia="Times New Roman" w:hAnsi="Arial" w:cs="Arial"/>
          <w:b/>
          <w:bCs/>
          <w:i/>
          <w:iCs/>
          <w:lang w:val="es-ES" w:eastAsia="es-PE"/>
        </w:rPr>
        <w:t>Dominio público</w:t>
      </w:r>
      <w:r w:rsidRPr="00FE2480">
        <w:rPr>
          <w:rFonts w:ascii="Arial" w:eastAsia="Times New Roman" w:hAnsi="Arial" w:cs="Arial"/>
          <w:lang w:val="es-ES" w:eastAsia="es-PE"/>
        </w:rPr>
        <w:t xml:space="preserve">: Eliminar de la información pública todo derecho de propiedad renunciando a los copyright y transitar hacia una licencia </w:t>
      </w:r>
      <w:proofErr w:type="spellStart"/>
      <w:r w:rsidRPr="00FE2480">
        <w:rPr>
          <w:rFonts w:ascii="Arial" w:eastAsia="Times New Roman" w:hAnsi="Arial" w:cs="Arial"/>
          <w:lang w:val="es-ES" w:eastAsia="es-PE"/>
        </w:rPr>
        <w:t>creative</w:t>
      </w:r>
      <w:proofErr w:type="spellEnd"/>
      <w:r w:rsidRPr="00FE2480">
        <w:rPr>
          <w:rFonts w:ascii="Arial" w:eastAsia="Times New Roman" w:hAnsi="Arial" w:cs="Arial"/>
          <w:lang w:val="es-ES" w:eastAsia="es-PE"/>
        </w:rPr>
        <w:t xml:space="preserve"> </w:t>
      </w:r>
      <w:proofErr w:type="spellStart"/>
      <w:r w:rsidRPr="00FE2480">
        <w:rPr>
          <w:rFonts w:ascii="Arial" w:eastAsia="Times New Roman" w:hAnsi="Arial" w:cs="Arial"/>
          <w:lang w:val="es-ES" w:eastAsia="es-PE"/>
        </w:rPr>
        <w:t>commons</w:t>
      </w:r>
      <w:proofErr w:type="spellEnd"/>
      <w:r w:rsidRPr="00FE2480">
        <w:rPr>
          <w:rFonts w:ascii="Arial" w:eastAsia="Times New Roman" w:hAnsi="Arial" w:cs="Arial"/>
          <w:lang w:val="es-ES" w:eastAsia="es-PE"/>
        </w:rPr>
        <w:t>.</w:t>
      </w:r>
    </w:p>
    <w:p w:rsidR="00A219EE" w:rsidRPr="00FE2480" w:rsidRDefault="00A219EE" w:rsidP="00A219EE">
      <w:pPr>
        <w:rPr>
          <w:rFonts w:ascii="Arial" w:eastAsia="Calibri" w:hAnsi="Arial" w:cs="Arial"/>
          <w:b/>
          <w:sz w:val="24"/>
          <w:szCs w:val="24"/>
          <w:lang w:val="es-PE"/>
        </w:rPr>
      </w:pPr>
      <w:r w:rsidRPr="00FE2480">
        <w:rPr>
          <w:rFonts w:ascii="Arial" w:eastAsia="Calibri" w:hAnsi="Arial" w:cs="Arial"/>
          <w:b/>
          <w:sz w:val="24"/>
          <w:szCs w:val="24"/>
          <w:lang w:val="es-PE"/>
        </w:rPr>
        <w:lastRenderedPageBreak/>
        <w:t>Barreras para el Desarrollo del Gobierno Electrónico en Perú</w:t>
      </w:r>
    </w:p>
    <w:p w:rsidR="00A219EE" w:rsidRPr="00FE2480" w:rsidRDefault="00A219EE" w:rsidP="00A219EE">
      <w:pPr>
        <w:rPr>
          <w:rFonts w:ascii="Arial" w:eastAsia="Calibri" w:hAnsi="Arial" w:cs="Arial"/>
          <w:lang w:val="es-PE"/>
        </w:rPr>
      </w:pPr>
      <w:r w:rsidRPr="00FE2480">
        <w:rPr>
          <w:rFonts w:ascii="Arial" w:eastAsia="Calibri" w:hAnsi="Arial" w:cs="Arial"/>
          <w:lang w:val="es-PE"/>
        </w:rPr>
        <w:t xml:space="preserve">Plantear, dentro de las Administración Pública, proyectos de Gobierno Electrónico que van más allá de información sobre la organización, es encontrar barreras y resistencias para realizarlos, estas barreras pueden ser de distintos tipos, sociales, corporativas, normativas, procedimentales, </w:t>
      </w:r>
      <w:proofErr w:type="spellStart"/>
      <w:r w:rsidRPr="00FE2480">
        <w:rPr>
          <w:rFonts w:ascii="Arial" w:eastAsia="Calibri" w:hAnsi="Arial" w:cs="Arial"/>
          <w:lang w:val="es-PE"/>
        </w:rPr>
        <w:t>interorganizativas</w:t>
      </w:r>
      <w:proofErr w:type="spellEnd"/>
      <w:r w:rsidRPr="00FE2480">
        <w:rPr>
          <w:rFonts w:ascii="Arial" w:eastAsia="Calibri" w:hAnsi="Arial" w:cs="Arial"/>
          <w:lang w:val="es-PE"/>
        </w:rPr>
        <w:t>, infraestructura, recursos, dado que el desarrollo de proyectos de Gobierno Electrónico es ante todo una cuestión política, de voluntades, prioridades de actuación y capacidad de liderazgo, más que una cuestión meramente tecnológica.</w:t>
      </w:r>
    </w:p>
    <w:p w:rsidR="003054CF" w:rsidRPr="00A219EE" w:rsidRDefault="003054CF">
      <w:pPr>
        <w:rPr>
          <w:lang w:val="es-PE"/>
        </w:rPr>
      </w:pPr>
      <w:bookmarkStart w:id="0" w:name="_GoBack"/>
      <w:bookmarkEnd w:id="0"/>
    </w:p>
    <w:sectPr w:rsidR="003054CF" w:rsidRPr="00A219EE" w:rsidSect="00A219EE">
      <w:pgSz w:w="11906" w:h="16838"/>
      <w:pgMar w:top="1417" w:right="1701" w:bottom="1417" w:left="1701" w:header="708" w:footer="708" w:gutter="0"/>
      <w:pgBorders w:offsetFrom="page">
        <w:top w:val="dashed" w:sz="4" w:space="24" w:color="FF0000"/>
        <w:left w:val="dashed" w:sz="4" w:space="24" w:color="FF0000"/>
        <w:bottom w:val="dashed" w:sz="4" w:space="24" w:color="FF0000"/>
        <w:right w:val="dashed"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9EE"/>
    <w:rsid w:val="003054CF"/>
    <w:rsid w:val="00A219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9EE"/>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219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19E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9EE"/>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219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19E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2327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2011-12-05T11:45:00Z</dcterms:created>
  <dcterms:modified xsi:type="dcterms:W3CDTF">2011-12-05T11:46:00Z</dcterms:modified>
</cp:coreProperties>
</file>