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97" w:rsidRPr="00860897" w:rsidRDefault="00860897" w:rsidP="00860897">
      <w:pPr>
        <w:pStyle w:val="NormalWeb"/>
        <w:jc w:val="center"/>
        <w:rPr>
          <w:rFonts w:ascii="Arial" w:hAnsi="Arial" w:cs="Arial"/>
          <w:b/>
          <w:lang w:val="es-ES"/>
        </w:rPr>
      </w:pPr>
      <w:r w:rsidRPr="00860897">
        <w:rPr>
          <w:rFonts w:ascii="Arial" w:hAnsi="Arial" w:cs="Arial"/>
          <w:b/>
          <w:lang w:val="es-ES"/>
        </w:rPr>
        <w:t>CONSTITUCION POLITICA DE 1991</w:t>
      </w:r>
    </w:p>
    <w:p w:rsidR="00860897" w:rsidRDefault="00860897" w:rsidP="00860897">
      <w:pPr>
        <w:pStyle w:val="NormalWeb"/>
        <w:jc w:val="both"/>
        <w:rPr>
          <w:rFonts w:ascii="Arial" w:hAnsi="Arial" w:cs="Arial"/>
          <w:lang w:val="es-ES"/>
        </w:rPr>
      </w:pPr>
      <w:r w:rsidRPr="00245EB7">
        <w:rPr>
          <w:rFonts w:ascii="Arial" w:hAnsi="Arial" w:cs="Arial"/>
          <w:lang w:val="es-ES"/>
        </w:rPr>
        <w:t xml:space="preserve">La </w:t>
      </w:r>
      <w:r w:rsidRPr="00245EB7">
        <w:rPr>
          <w:rFonts w:ascii="Arial" w:hAnsi="Arial" w:cs="Arial"/>
          <w:b/>
          <w:bCs/>
          <w:lang w:val="es-ES"/>
        </w:rPr>
        <w:t>Constitución</w:t>
      </w:r>
      <w:r w:rsidRPr="00245EB7">
        <w:rPr>
          <w:rFonts w:ascii="Arial" w:hAnsi="Arial" w:cs="Arial"/>
          <w:lang w:val="es-ES"/>
        </w:rPr>
        <w:t xml:space="preserve"> o </w:t>
      </w:r>
      <w:hyperlink r:id="rId5" w:tooltip="Carta Magna" w:history="1">
        <w:r w:rsidRPr="00245EB7">
          <w:rPr>
            <w:rStyle w:val="Hipervnculo"/>
            <w:rFonts w:ascii="Arial" w:hAnsi="Arial" w:cs="Arial"/>
            <w:b/>
            <w:bCs/>
            <w:color w:val="auto"/>
            <w:u w:val="none"/>
            <w:lang w:val="es-ES"/>
          </w:rPr>
          <w:t>carta magna</w:t>
        </w:r>
      </w:hyperlink>
      <w:r w:rsidRPr="00245EB7">
        <w:rPr>
          <w:rFonts w:ascii="Arial" w:hAnsi="Arial" w:cs="Arial"/>
          <w:lang w:val="es-ES"/>
        </w:rPr>
        <w:t xml:space="preserve"> es la </w:t>
      </w:r>
      <w:hyperlink r:id="rId6" w:tooltip="Norma jurídica" w:history="1">
        <w:r w:rsidRPr="00245EB7">
          <w:rPr>
            <w:rStyle w:val="Hipervnculo"/>
            <w:rFonts w:ascii="Arial" w:hAnsi="Arial" w:cs="Arial"/>
            <w:color w:val="auto"/>
            <w:u w:val="none"/>
            <w:lang w:val="es-ES"/>
          </w:rPr>
          <w:t>norma</w:t>
        </w:r>
      </w:hyperlink>
      <w:r w:rsidRPr="00245EB7">
        <w:rPr>
          <w:rFonts w:ascii="Arial" w:hAnsi="Arial" w:cs="Arial"/>
          <w:lang w:val="es-ES"/>
        </w:rPr>
        <w:t xml:space="preserve"> suprema, escrita o no, de un </w:t>
      </w:r>
      <w:hyperlink r:id="rId7" w:tooltip="Estado" w:history="1">
        <w:r w:rsidRPr="00245EB7">
          <w:rPr>
            <w:rStyle w:val="Hipervnculo"/>
            <w:rFonts w:ascii="Arial" w:hAnsi="Arial" w:cs="Arial"/>
            <w:color w:val="auto"/>
            <w:u w:val="none"/>
            <w:lang w:val="es-ES"/>
          </w:rPr>
          <w:t>Estado</w:t>
        </w:r>
      </w:hyperlink>
      <w:r w:rsidRPr="00245EB7">
        <w:rPr>
          <w:rFonts w:ascii="Arial" w:hAnsi="Arial" w:cs="Arial"/>
          <w:lang w:val="es-ES"/>
        </w:rPr>
        <w:t xml:space="preserve"> soberano u organización, establecida o aceptada para regirlo. La constitución fija los límites y define las relaciones entre los poderes del Estado (poderes que, en los países occidentales modernos, se definen como </w:t>
      </w:r>
      <w:hyperlink r:id="rId8" w:tooltip="Poder legislativo" w:history="1">
        <w:r w:rsidRPr="00245EB7">
          <w:rPr>
            <w:rStyle w:val="Hipervnculo"/>
            <w:rFonts w:ascii="Arial" w:hAnsi="Arial" w:cs="Arial"/>
            <w:color w:val="auto"/>
            <w:u w:val="none"/>
            <w:lang w:val="es-ES"/>
          </w:rPr>
          <w:t>poder legislativo</w:t>
        </w:r>
      </w:hyperlink>
      <w:r w:rsidRPr="00245EB7">
        <w:rPr>
          <w:rFonts w:ascii="Arial" w:hAnsi="Arial" w:cs="Arial"/>
          <w:lang w:val="es-ES"/>
        </w:rPr>
        <w:t xml:space="preserve">, </w:t>
      </w:r>
      <w:hyperlink r:id="rId9" w:tooltip="Poder ejecutivo" w:history="1">
        <w:r w:rsidRPr="00245EB7">
          <w:rPr>
            <w:rStyle w:val="Hipervnculo"/>
            <w:rFonts w:ascii="Arial" w:hAnsi="Arial" w:cs="Arial"/>
            <w:color w:val="auto"/>
            <w:u w:val="none"/>
            <w:lang w:val="es-ES"/>
          </w:rPr>
          <w:t>ejecutivo</w:t>
        </w:r>
      </w:hyperlink>
      <w:r w:rsidRPr="00245EB7">
        <w:rPr>
          <w:rFonts w:ascii="Arial" w:hAnsi="Arial" w:cs="Arial"/>
          <w:lang w:val="es-ES"/>
        </w:rPr>
        <w:t xml:space="preserve"> y </w:t>
      </w:r>
      <w:hyperlink r:id="rId10" w:tooltip="Poder judicial" w:history="1">
        <w:r w:rsidRPr="00245EB7">
          <w:rPr>
            <w:rStyle w:val="Hipervnculo"/>
            <w:rFonts w:ascii="Arial" w:hAnsi="Arial" w:cs="Arial"/>
            <w:color w:val="auto"/>
            <w:u w:val="none"/>
            <w:lang w:val="es-ES"/>
          </w:rPr>
          <w:t>judicial</w:t>
        </w:r>
      </w:hyperlink>
      <w:r w:rsidRPr="00245EB7">
        <w:rPr>
          <w:rFonts w:ascii="Arial" w:hAnsi="Arial" w:cs="Arial"/>
          <w:lang w:val="es-ES"/>
        </w:rPr>
        <w:t>) y de estos con sus ciudadanos, estableciendo así las bases para su gobierno y para la organización de las instituciones en que tales poderes se asientan. Este documento busca garantizar al pueblo sus derechos y libertades.</w:t>
      </w:r>
    </w:p>
    <w:p w:rsidR="00860897" w:rsidRDefault="00860897" w:rsidP="00860897">
      <w:pPr>
        <w:pStyle w:val="NormalWeb"/>
        <w:jc w:val="center"/>
        <w:rPr>
          <w:rFonts w:ascii="Arial" w:hAnsi="Arial" w:cs="Arial"/>
          <w:b/>
          <w:lang w:val="es-ES"/>
        </w:rPr>
      </w:pPr>
      <w:r w:rsidRPr="00245EB7">
        <w:rPr>
          <w:rFonts w:ascii="Arial" w:hAnsi="Arial" w:cs="Arial"/>
          <w:b/>
          <w:lang w:val="es-ES"/>
        </w:rPr>
        <w:t>DERECHO A LA EDUCACION</w:t>
      </w:r>
      <w:r>
        <w:rPr>
          <w:rFonts w:ascii="Arial" w:hAnsi="Arial" w:cs="Arial"/>
          <w:b/>
          <w:lang w:val="es-ES"/>
        </w:rPr>
        <w:t xml:space="preserve"> EN COLOMBIA</w:t>
      </w:r>
    </w:p>
    <w:p w:rsidR="00860897" w:rsidRPr="00860897" w:rsidRDefault="00860897" w:rsidP="00860897">
      <w:pPr>
        <w:pStyle w:val="NormalWeb"/>
        <w:jc w:val="both"/>
        <w:rPr>
          <w:rStyle w:val="nfasis"/>
          <w:rFonts w:ascii="Arial" w:hAnsi="Arial" w:cs="Arial"/>
          <w:bCs/>
          <w:i w:val="0"/>
          <w:color w:val="C00000"/>
          <w:lang w:val="es-ES"/>
        </w:rPr>
      </w:pPr>
      <w:r w:rsidRPr="00860897">
        <w:rPr>
          <w:rStyle w:val="nfasis"/>
          <w:rFonts w:ascii="Arial" w:hAnsi="Arial" w:cs="Arial"/>
          <w:b/>
          <w:bCs/>
          <w:i w:val="0"/>
          <w:lang w:val="es-ES"/>
        </w:rPr>
        <w:t>“ARTICULO 67</w:t>
      </w:r>
      <w:r w:rsidRPr="00245EB7">
        <w:rPr>
          <w:rStyle w:val="nfasis"/>
          <w:rFonts w:ascii="Arial" w:hAnsi="Arial" w:cs="Arial"/>
          <w:bCs/>
          <w:i w:val="0"/>
          <w:lang w:val="es-ES"/>
        </w:rPr>
        <w:t xml:space="preserve">. </w:t>
      </w:r>
      <w:r w:rsidRPr="00860897">
        <w:rPr>
          <w:rStyle w:val="nfasis"/>
          <w:rFonts w:ascii="Arial" w:hAnsi="Arial" w:cs="Arial"/>
          <w:b/>
          <w:bCs/>
          <w:i w:val="0"/>
          <w:color w:val="C00000"/>
          <w:lang w:val="es-ES"/>
        </w:rPr>
        <w:t>La educación es un derecho de la persona y un servicio público que tiene una función social; con ella se busca el acceso al conocimiento, a la ciencia, a la técnica, y a los demás bienes y valores de la cultura</w:t>
      </w:r>
    </w:p>
    <w:p w:rsidR="00860897" w:rsidRDefault="00860897" w:rsidP="00860897">
      <w:pPr>
        <w:pStyle w:val="NormalWeb"/>
        <w:jc w:val="both"/>
        <w:rPr>
          <w:rFonts w:ascii="Arial" w:hAnsi="Arial" w:cs="Arial"/>
          <w:lang w:val="es-ES"/>
        </w:rPr>
      </w:pPr>
      <w:r w:rsidRPr="007F0E55">
        <w:rPr>
          <w:rFonts w:ascii="Arial" w:hAnsi="Arial" w:cs="Arial"/>
          <w:lang w:val="es-ES"/>
        </w:rPr>
        <w:t>El Derecho a la Educación tiene 4 característica esenciales</w:t>
      </w:r>
    </w:p>
    <w:p w:rsidR="00860897" w:rsidRPr="007F0E55" w:rsidRDefault="00860897" w:rsidP="00860897">
      <w:pPr>
        <w:spacing w:before="100" w:beforeAutospacing="1" w:after="144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hyperlink r:id="rId11" w:history="1">
        <w:r w:rsidRPr="00860897">
          <w:rPr>
            <w:rFonts w:ascii="Arial" w:eastAsia="Times New Roman" w:hAnsi="Arial" w:cs="Arial"/>
            <w:b/>
            <w:bCs/>
            <w:sz w:val="24"/>
            <w:szCs w:val="24"/>
            <w:lang w:val="es-ES" w:eastAsia="es-CO"/>
          </w:rPr>
          <w:t>Asequibilidad</w:t>
        </w:r>
      </w:hyperlink>
      <w:r w:rsidRPr="007F0E55">
        <w:rPr>
          <w:rFonts w:ascii="Arial" w:eastAsia="Times New Roman" w:hAnsi="Arial" w:cs="Arial"/>
          <w:sz w:val="24"/>
          <w:szCs w:val="24"/>
          <w:lang w:val="es-ES" w:eastAsia="es-CO"/>
        </w:rPr>
        <w:t xml:space="preserve">: que la enseñanza es gratuita y está financiada por el Estado y que existe una infraestructura adecuada y docentes formados capaces de sostener la prestación de educación. </w:t>
      </w:r>
    </w:p>
    <w:p w:rsidR="00860897" w:rsidRPr="007F0E55" w:rsidRDefault="00860897" w:rsidP="00860897">
      <w:pPr>
        <w:spacing w:before="100" w:beforeAutospacing="1" w:after="144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hyperlink r:id="rId12" w:history="1">
        <w:r w:rsidRPr="00860897">
          <w:rPr>
            <w:rFonts w:ascii="Arial" w:eastAsia="Times New Roman" w:hAnsi="Arial" w:cs="Arial"/>
            <w:b/>
            <w:bCs/>
            <w:sz w:val="24"/>
            <w:szCs w:val="24"/>
            <w:lang w:val="es-ES" w:eastAsia="es-CO"/>
          </w:rPr>
          <w:t>Accesibilidad</w:t>
        </w:r>
        <w:r w:rsidRPr="007F0E55">
          <w:rPr>
            <w:rFonts w:ascii="Arial" w:eastAsia="Times New Roman" w:hAnsi="Arial" w:cs="Arial"/>
            <w:b/>
            <w:bCs/>
            <w:color w:val="4B5360"/>
            <w:sz w:val="24"/>
            <w:szCs w:val="24"/>
            <w:lang w:val="es-ES" w:eastAsia="es-CO"/>
          </w:rPr>
          <w:t>:</w:t>
        </w:r>
        <w:r w:rsidRPr="007F0E55">
          <w:rPr>
            <w:rFonts w:ascii="Arial" w:eastAsia="Times New Roman" w:hAnsi="Arial" w:cs="Arial"/>
            <w:b/>
            <w:bCs/>
            <w:i/>
            <w:iCs/>
            <w:color w:val="4B5360"/>
            <w:sz w:val="24"/>
            <w:szCs w:val="24"/>
            <w:lang w:val="es-ES" w:eastAsia="es-CO"/>
          </w:rPr>
          <w:t xml:space="preserve"> </w:t>
        </w:r>
      </w:hyperlink>
      <w:r w:rsidRPr="007F0E55">
        <w:rPr>
          <w:rFonts w:ascii="Arial" w:eastAsia="Times New Roman" w:hAnsi="Arial" w:cs="Arial"/>
          <w:sz w:val="24"/>
          <w:szCs w:val="24"/>
          <w:lang w:val="es-ES" w:eastAsia="es-CO"/>
        </w:rPr>
        <w:t xml:space="preserve">que el sistema es no discriminatorio y accesible a todos, y que se adoptan medidas positivas para incluir a los más marginados. </w:t>
      </w:r>
    </w:p>
    <w:p w:rsidR="00860897" w:rsidRPr="007F0E55" w:rsidRDefault="00860897" w:rsidP="00860897">
      <w:pPr>
        <w:spacing w:before="100" w:beforeAutospacing="1" w:after="144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hyperlink r:id="rId13" w:history="1">
        <w:r w:rsidRPr="00860897">
          <w:rPr>
            <w:rFonts w:ascii="Arial" w:eastAsia="Times New Roman" w:hAnsi="Arial" w:cs="Arial"/>
            <w:b/>
            <w:bCs/>
            <w:sz w:val="24"/>
            <w:szCs w:val="24"/>
            <w:lang w:val="es-ES" w:eastAsia="es-CO"/>
          </w:rPr>
          <w:t>Aceptabilidad</w:t>
        </w:r>
        <w:r w:rsidRPr="007F0E55">
          <w:rPr>
            <w:rFonts w:ascii="Arial" w:eastAsia="Times New Roman" w:hAnsi="Arial" w:cs="Arial"/>
            <w:b/>
            <w:bCs/>
            <w:color w:val="4B5360"/>
            <w:sz w:val="24"/>
            <w:szCs w:val="24"/>
            <w:lang w:val="es-ES" w:eastAsia="es-CO"/>
          </w:rPr>
          <w:t xml:space="preserve">: </w:t>
        </w:r>
      </w:hyperlink>
      <w:r w:rsidRPr="007F0E55">
        <w:rPr>
          <w:rFonts w:ascii="Arial" w:eastAsia="Times New Roman" w:hAnsi="Arial" w:cs="Arial"/>
          <w:sz w:val="24"/>
          <w:szCs w:val="24"/>
          <w:lang w:val="es-ES" w:eastAsia="es-CO"/>
        </w:rPr>
        <w:t xml:space="preserve">que el contenido de la enseñanza es relevante, no discriminatorio y culturalmente apropiado, y de calidad, que la escuela en sí es segura y que los docentes son profesionales. </w:t>
      </w:r>
    </w:p>
    <w:p w:rsidR="00860897" w:rsidRDefault="00860897" w:rsidP="00860897">
      <w:pPr>
        <w:spacing w:before="100" w:beforeAutospacing="1" w:after="144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hyperlink r:id="rId14" w:history="1">
        <w:r w:rsidRPr="00860897">
          <w:rPr>
            <w:rFonts w:ascii="Arial" w:eastAsia="Times New Roman" w:hAnsi="Arial" w:cs="Arial"/>
            <w:b/>
            <w:bCs/>
            <w:sz w:val="24"/>
            <w:szCs w:val="24"/>
            <w:lang w:val="es-ES" w:eastAsia="es-CO"/>
          </w:rPr>
          <w:t>Adaptabilidad</w:t>
        </w:r>
      </w:hyperlink>
      <w:r w:rsidRPr="007F0E55">
        <w:rPr>
          <w:rFonts w:ascii="Arial" w:eastAsia="Times New Roman" w:hAnsi="Arial" w:cs="Arial"/>
          <w:sz w:val="24"/>
          <w:szCs w:val="24"/>
          <w:lang w:val="es-ES" w:eastAsia="es-CO"/>
        </w:rPr>
        <w:t>: que la educación puede evolucionar a medida que cambian las necesidades de la sociedad y puede contribuir a superar las desigualdades, como la discriminación de género, y que puede adaptarse localmente para adecuarse a contextos específicos</w:t>
      </w:r>
    </w:p>
    <w:p w:rsidR="00E15BA9" w:rsidRPr="00860897" w:rsidRDefault="00E15BA9">
      <w:pPr>
        <w:rPr>
          <w:lang w:val="es-ES"/>
        </w:rPr>
      </w:pPr>
      <w:bookmarkStart w:id="0" w:name="_GoBack"/>
      <w:bookmarkEnd w:id="0"/>
    </w:p>
    <w:sectPr w:rsidR="00E15BA9" w:rsidRPr="008608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97"/>
    <w:rsid w:val="00860897"/>
    <w:rsid w:val="00E1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08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8608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08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8608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oder_legislativo" TargetMode="External"/><Relationship Id="rId13" Type="http://schemas.openxmlformats.org/officeDocument/2006/relationships/hyperlink" Target="http://r2e.gn.apc.org/node/2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Estado" TargetMode="External"/><Relationship Id="rId12" Type="http://schemas.openxmlformats.org/officeDocument/2006/relationships/hyperlink" Target="http://r2e.gn.apc.org/node/22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Norma_jur%C3%ADdica" TargetMode="External"/><Relationship Id="rId11" Type="http://schemas.openxmlformats.org/officeDocument/2006/relationships/hyperlink" Target="http://r2e.gn.apc.org/node/227" TargetMode="External"/><Relationship Id="rId5" Type="http://schemas.openxmlformats.org/officeDocument/2006/relationships/hyperlink" Target="http://es.wikipedia.org/wiki/Carta_Magn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Poder_jud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Poder_ejecutivo" TargetMode="External"/><Relationship Id="rId14" Type="http://schemas.openxmlformats.org/officeDocument/2006/relationships/hyperlink" Target="http://r2e.gn.apc.org/node/2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CARLOSAA</dc:creator>
  <cp:lastModifiedBy>CARLOSAA</cp:lastModifiedBy>
  <cp:revision>1</cp:revision>
  <dcterms:created xsi:type="dcterms:W3CDTF">2012-03-18T21:41:00Z</dcterms:created>
  <dcterms:modified xsi:type="dcterms:W3CDTF">2012-03-18T21:45:00Z</dcterms:modified>
</cp:coreProperties>
</file>