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F5" w:rsidRDefault="00F054F5" w:rsidP="00F054F5">
      <w:pPr>
        <w:jc w:val="center"/>
        <w:rPr>
          <w:rFonts w:ascii="Comic Sans MS" w:hAnsi="Comic Sans MS"/>
          <w:b/>
          <w:bCs/>
          <w:color w:val="333333"/>
          <w:sz w:val="24"/>
          <w:szCs w:val="24"/>
          <w:shd w:val="clear" w:color="auto" w:fill="FFFFFF"/>
        </w:rPr>
      </w:pPr>
      <w:r w:rsidRPr="00F054F5">
        <w:rPr>
          <w:rFonts w:ascii="Comic Sans MS" w:hAnsi="Comic Sans MS"/>
          <w:b/>
          <w:bCs/>
          <w:color w:val="333333"/>
          <w:sz w:val="24"/>
          <w:szCs w:val="24"/>
          <w:shd w:val="clear" w:color="auto" w:fill="FFFFFF"/>
        </w:rPr>
        <w:t>DINAMO CON EXCITACIÓN EN DERIVACIÓN (SHUNT).</w:t>
      </w:r>
    </w:p>
    <w:p w:rsidR="00F054F5" w:rsidRDefault="00F054F5" w:rsidP="00F054F5">
      <w:pPr>
        <w:jc w:val="both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 w:rsidRPr="00F054F5">
        <w:rPr>
          <w:rFonts w:ascii="Comic Sans MS" w:hAnsi="Comic Sans MS"/>
          <w:color w:val="333333"/>
          <w:sz w:val="24"/>
          <w:szCs w:val="24"/>
        </w:rPr>
        <w:br/>
      </w:r>
      <w:r w:rsidRPr="00F054F5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Aquí se conecta el devanado inductor en paralelo con el inducido. Para producir el flujo magnético necesario se montan bobinas inductoras con un gran </w:t>
      </w:r>
      <w:r w:rsidRPr="00F054F5">
        <w:rPr>
          <w:rFonts w:ascii="Comic Sans MS" w:hAnsi="Comic Sans MS"/>
          <w:color w:val="333333"/>
          <w:sz w:val="24"/>
          <w:szCs w:val="24"/>
          <w:shd w:val="clear" w:color="auto" w:fill="FFFFFF"/>
        </w:rPr>
        <w:t>número</w:t>
      </w:r>
      <w:r w:rsidRPr="00F054F5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de espiras, ya que la corriente de excitación que se alcanza con este montaje es pequeña y la sección de los conductores es reducida.</w:t>
      </w:r>
    </w:p>
    <w:p w:rsidR="00447201" w:rsidRDefault="00F054F5" w:rsidP="00F054F5">
      <w:pPr>
        <w:jc w:val="both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 w:rsidRPr="00F054F5">
        <w:rPr>
          <w:rFonts w:ascii="Comic Sans MS" w:hAnsi="Comic Sans MS"/>
          <w:color w:val="333333"/>
          <w:sz w:val="24"/>
          <w:szCs w:val="24"/>
        </w:rPr>
        <w:br/>
      </w:r>
      <w:r w:rsidRPr="00F054F5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Se puede observar que la tensión que proporciona el generador a la carga se reduce más drásticamente con los aumentos de la corriente de carga que en la dinamo con </w:t>
      </w:r>
      <w:r w:rsidRPr="00F054F5">
        <w:rPr>
          <w:rFonts w:ascii="Comic Sans MS" w:hAnsi="Comic Sans MS"/>
          <w:color w:val="333333"/>
          <w:sz w:val="24"/>
          <w:szCs w:val="24"/>
          <w:shd w:val="clear" w:color="auto" w:fill="FFFFFF"/>
        </w:rPr>
        <w:t>excitación</w:t>
      </w:r>
      <w:r w:rsidRPr="00F054F5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independiente. Esto es debido a que, al aumentar la caída de tensión en el inducido con la carga, se produce una disminución de la tensión en bornes, que provoca, a su vez, una reducción de la corriente de excitación. Esto hace que la f.e.m. inducida se vea reducida, de modo que se puede llegar a perder la excitación total de la dinamo para corrientes de carga muy elevadas.</w:t>
      </w:r>
    </w:p>
    <w:p w:rsidR="00F054F5" w:rsidRPr="00F054F5" w:rsidRDefault="00F054F5" w:rsidP="00F054F5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s-CO"/>
        </w:rPr>
        <w:drawing>
          <wp:inline distT="0" distB="0" distL="0" distR="0">
            <wp:extent cx="5603875" cy="4200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4F5" w:rsidRPr="00F054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5"/>
    <w:rsid w:val="00447201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2013-03-31T14:39:00Z</dcterms:created>
  <dcterms:modified xsi:type="dcterms:W3CDTF">2013-03-31T14:46:00Z</dcterms:modified>
</cp:coreProperties>
</file>