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1" w:rsidRPr="001A6701" w:rsidRDefault="001A6701" w:rsidP="001A6701">
      <w:pPr>
        <w:rPr>
          <w:rFonts w:ascii="Century Gothic" w:hAnsi="Century Gothic"/>
          <w:b/>
          <w:sz w:val="32"/>
          <w:szCs w:val="32"/>
        </w:rPr>
      </w:pPr>
      <w:bookmarkStart w:id="0" w:name="_GoBack"/>
      <w:r w:rsidRPr="001A6701">
        <w:rPr>
          <w:rFonts w:ascii="Century Gothic" w:hAnsi="Century Gothic"/>
          <w:b/>
          <w:sz w:val="32"/>
          <w:szCs w:val="32"/>
        </w:rPr>
        <w:t xml:space="preserve">SEDE CARTAGENA: </w:t>
      </w:r>
    </w:p>
    <w:bookmarkEnd w:id="0"/>
    <w:p w:rsidR="001A6701" w:rsidRPr="001A6701" w:rsidRDefault="001A6701" w:rsidP="001A6701">
      <w:pPr>
        <w:rPr>
          <w:rFonts w:ascii="Century Gothic" w:hAnsi="Century Gothic"/>
          <w:sz w:val="32"/>
          <w:szCs w:val="32"/>
        </w:rPr>
      </w:pPr>
      <w:r w:rsidRPr="001A6701">
        <w:rPr>
          <w:rFonts w:ascii="Century Gothic" w:hAnsi="Century Gothic"/>
          <w:sz w:val="32"/>
          <w:szCs w:val="32"/>
        </w:rPr>
        <w:t>•</w:t>
      </w:r>
      <w:r w:rsidRPr="001A6701">
        <w:rPr>
          <w:rFonts w:ascii="Century Gothic" w:hAnsi="Century Gothic"/>
          <w:sz w:val="32"/>
          <w:szCs w:val="32"/>
        </w:rPr>
        <w:tab/>
        <w:t>Comenzó tareas como institución universitaria en el año 2000 con la facultad de derecho.</w:t>
      </w:r>
    </w:p>
    <w:p w:rsidR="001A6701" w:rsidRPr="001A6701" w:rsidRDefault="001A6701" w:rsidP="001A6701">
      <w:pPr>
        <w:rPr>
          <w:rFonts w:ascii="Century Gothic" w:hAnsi="Century Gothic"/>
          <w:sz w:val="32"/>
          <w:szCs w:val="32"/>
        </w:rPr>
      </w:pPr>
      <w:r w:rsidRPr="001A6701">
        <w:rPr>
          <w:rFonts w:ascii="Century Gothic" w:hAnsi="Century Gothic"/>
          <w:sz w:val="32"/>
          <w:szCs w:val="32"/>
        </w:rPr>
        <w:t>•</w:t>
      </w:r>
      <w:r w:rsidRPr="001A6701">
        <w:rPr>
          <w:rFonts w:ascii="Century Gothic" w:hAnsi="Century Gothic"/>
          <w:sz w:val="32"/>
          <w:szCs w:val="32"/>
        </w:rPr>
        <w:tab/>
        <w:t>2003 se inicia el programa de contaduría pública.</w:t>
      </w:r>
    </w:p>
    <w:p w:rsidR="001924E1" w:rsidRPr="001A6701" w:rsidRDefault="001A6701" w:rsidP="001A6701">
      <w:pPr>
        <w:rPr>
          <w:rFonts w:ascii="Century Gothic" w:hAnsi="Century Gothic"/>
          <w:sz w:val="32"/>
          <w:szCs w:val="32"/>
        </w:rPr>
      </w:pPr>
      <w:r w:rsidRPr="001A6701">
        <w:rPr>
          <w:rFonts w:ascii="Century Gothic" w:hAnsi="Century Gothic"/>
          <w:sz w:val="32"/>
          <w:szCs w:val="32"/>
        </w:rPr>
        <w:t>•</w:t>
      </w:r>
      <w:r w:rsidRPr="001A6701">
        <w:rPr>
          <w:rFonts w:ascii="Century Gothic" w:hAnsi="Century Gothic"/>
          <w:sz w:val="32"/>
          <w:szCs w:val="32"/>
        </w:rPr>
        <w:tab/>
      </w:r>
      <w:proofErr w:type="gramStart"/>
      <w:r w:rsidRPr="001A6701">
        <w:rPr>
          <w:rFonts w:ascii="Century Gothic" w:hAnsi="Century Gothic"/>
          <w:sz w:val="32"/>
          <w:szCs w:val="32"/>
        </w:rPr>
        <w:t>la</w:t>
      </w:r>
      <w:proofErr w:type="gramEnd"/>
      <w:r w:rsidRPr="001A6701">
        <w:rPr>
          <w:rFonts w:ascii="Century Gothic" w:hAnsi="Century Gothic"/>
          <w:sz w:val="32"/>
          <w:szCs w:val="32"/>
        </w:rPr>
        <w:t xml:space="preserve"> sede de Cartagena ofrece especializaciones en derecho administrativo, derecho penal y criminología, derecho procesal y derecho comercial.</w:t>
      </w:r>
    </w:p>
    <w:sectPr w:rsidR="001924E1" w:rsidRPr="001A6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1"/>
    <w:rsid w:val="001924E1"/>
    <w:rsid w:val="001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2013-04-27T00:17:00Z</dcterms:created>
  <dcterms:modified xsi:type="dcterms:W3CDTF">2013-04-27T00:18:00Z</dcterms:modified>
</cp:coreProperties>
</file>