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D4" w:rsidRDefault="00E3277C" w:rsidP="00275AD4">
      <w:pPr>
        <w:pStyle w:val="Ttulo1"/>
        <w:rPr>
          <w:bCs w:val="0"/>
          <w:szCs w:val="24"/>
        </w:rPr>
      </w:pPr>
      <w:r>
        <w:rPr>
          <w:bCs w:val="0"/>
          <w:szCs w:val="24"/>
        </w:rPr>
        <w:t xml:space="preserve"> </w:t>
      </w:r>
      <w:r w:rsidR="00275AD4">
        <w:rPr>
          <w:bCs w:val="0"/>
          <w:szCs w:val="24"/>
        </w:rPr>
        <w:t xml:space="preserve">TITULO V </w:t>
      </w:r>
    </w:p>
    <w:p w:rsidR="00275AD4" w:rsidRDefault="00275AD4" w:rsidP="00275AD4">
      <w:pPr>
        <w:pStyle w:val="Predeterminado"/>
        <w:jc w:val="both"/>
        <w:rPr>
          <w:szCs w:val="24"/>
        </w:rPr>
      </w:pPr>
      <w:r>
        <w:rPr>
          <w:b/>
          <w:sz w:val="28"/>
          <w:szCs w:val="24"/>
          <w:lang w:val="es-ES_tradnl"/>
        </w:rPr>
        <w:t xml:space="preserve"> De la permutación  (artículos 1485 al 1492)</w:t>
      </w:r>
    </w:p>
    <w:p w:rsidR="00275AD4" w:rsidRDefault="00275AD4" w:rsidP="00275AD4">
      <w:pPr>
        <w:pStyle w:val="Predeterminado"/>
        <w:jc w:val="both"/>
        <w:rPr>
          <w:szCs w:val="24"/>
        </w:rPr>
      </w:pPr>
    </w:p>
    <w:p w:rsidR="00275AD4" w:rsidRDefault="00275AD4" w:rsidP="00275AD4">
      <w:pPr>
        <w:pStyle w:val="Predeterminado"/>
        <w:jc w:val="both"/>
        <w:rPr>
          <w:rFonts w:ascii="Courier New" w:hAnsi="Courier New"/>
          <w:i/>
          <w:color w:val="002060"/>
          <w:sz w:val="24"/>
          <w:szCs w:val="24"/>
          <w:lang w:val="es-ES_tradnl"/>
        </w:rPr>
      </w:pPr>
      <w:r w:rsidRPr="008F6644">
        <w:rPr>
          <w:b/>
          <w:i/>
          <w:color w:val="002060"/>
          <w:sz w:val="24"/>
          <w:szCs w:val="24"/>
          <w:lang w:val="es-ES_tradnl"/>
        </w:rPr>
        <w:t>Artículo 1485.-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El  contrato  de  trueque  o permutación tendrá </w:t>
      </w:r>
      <w:r w:rsidRPr="009E1D85">
        <w:rPr>
          <w:rFonts w:ascii="Courier New" w:hAnsi="Courier New"/>
          <w:b/>
          <w:i/>
          <w:color w:val="002060"/>
          <w:sz w:val="28"/>
          <w:szCs w:val="28"/>
          <w:u w:val="single"/>
          <w:lang w:val="es-ES_tradnl"/>
        </w:rPr>
        <w:t>lugar,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 cuando  uno de los contratantes se obligue  a  </w:t>
      </w:r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>transferir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 a</w:t>
      </w:r>
      <w:r w:rsidRPr="008F6644">
        <w:rPr>
          <w:b/>
          <w:i/>
          <w:color w:val="002060"/>
          <w:sz w:val="24"/>
          <w:szCs w:val="24"/>
          <w:lang w:val="es-ES_tradnl"/>
        </w:rPr>
        <w:t xml:space="preserve"> 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otro la propiedad  de  una cosa, con tal que </w:t>
      </w:r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>éste le dé la propiedad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de otra cosa.</w:t>
      </w:r>
    </w:p>
    <w:p w:rsidR="008F6644" w:rsidRPr="008F6644" w:rsidRDefault="008F6644" w:rsidP="00275AD4">
      <w:pPr>
        <w:pStyle w:val="Predeterminado"/>
        <w:jc w:val="both"/>
        <w:rPr>
          <w:i/>
          <w:color w:val="002060"/>
          <w:sz w:val="24"/>
          <w:szCs w:val="24"/>
        </w:rPr>
      </w:pPr>
    </w:p>
    <w:p w:rsidR="00275AD4" w:rsidRPr="008F6644" w:rsidRDefault="00275AD4" w:rsidP="00275AD4">
      <w:pPr>
        <w:pStyle w:val="Predeterminado"/>
        <w:jc w:val="both"/>
        <w:rPr>
          <w:i/>
          <w:color w:val="002060"/>
          <w:sz w:val="24"/>
          <w:szCs w:val="24"/>
        </w:rPr>
      </w:pPr>
      <w:r w:rsidRPr="008F6644">
        <w:rPr>
          <w:b/>
          <w:i/>
          <w:color w:val="002060"/>
          <w:sz w:val="24"/>
          <w:szCs w:val="24"/>
          <w:lang w:val="es-ES_tradnl"/>
        </w:rPr>
        <w:t>Artículo 1486.-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Si una de las partes ha recibido la cosa que se le prometía en permuta, y  tiene  </w:t>
      </w:r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>justos  motivos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para </w:t>
      </w:r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 xml:space="preserve">creer que </w:t>
      </w:r>
      <w:r w:rsidRPr="009E1D85">
        <w:rPr>
          <w:rFonts w:ascii="Courier New" w:hAnsi="Courier New"/>
          <w:b/>
          <w:i/>
          <w:color w:val="002060"/>
          <w:sz w:val="24"/>
          <w:szCs w:val="24"/>
          <w:u w:val="single"/>
          <w:lang w:val="es-ES_tradnl"/>
        </w:rPr>
        <w:t>no era propia del que la dio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, no puede ser obligado  a  entregar la que él ofreció, y puede </w:t>
      </w:r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>pedir la nulidad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del contrato, aunque  no  fuese molestado en la posesión de la cosa recibida.</w:t>
      </w:r>
    </w:p>
    <w:p w:rsidR="00275AD4" w:rsidRPr="008F6644" w:rsidRDefault="00275AD4" w:rsidP="00275AD4">
      <w:pPr>
        <w:pStyle w:val="Predeterminado"/>
        <w:jc w:val="both"/>
        <w:rPr>
          <w:i/>
          <w:color w:val="002060"/>
          <w:sz w:val="24"/>
          <w:szCs w:val="24"/>
        </w:rPr>
      </w:pPr>
    </w:p>
    <w:p w:rsidR="00275AD4" w:rsidRPr="008F6644" w:rsidRDefault="00275AD4" w:rsidP="00275AD4">
      <w:pPr>
        <w:pStyle w:val="Predeterminado"/>
        <w:jc w:val="both"/>
        <w:rPr>
          <w:i/>
          <w:color w:val="002060"/>
          <w:sz w:val="24"/>
          <w:szCs w:val="24"/>
        </w:rPr>
      </w:pPr>
      <w:r w:rsidRPr="008F6644">
        <w:rPr>
          <w:b/>
          <w:i/>
          <w:color w:val="002060"/>
          <w:sz w:val="24"/>
          <w:szCs w:val="24"/>
          <w:lang w:val="es-ES_tradnl"/>
        </w:rPr>
        <w:t xml:space="preserve">Artículo 1487 </w:t>
      </w:r>
      <w:r w:rsidRPr="009E1D85">
        <w:rPr>
          <w:rFonts w:ascii="Courier New" w:hAnsi="Courier New"/>
          <w:b/>
          <w:i/>
          <w:color w:val="002060"/>
          <w:sz w:val="24"/>
          <w:szCs w:val="24"/>
          <w:u w:val="single"/>
          <w:lang w:val="es-ES_tradnl"/>
        </w:rPr>
        <w:t>La anulación</w:t>
      </w:r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 xml:space="preserve"> del contrato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de permutación </w:t>
      </w:r>
      <w:r w:rsidRPr="008F6644">
        <w:rPr>
          <w:rFonts w:ascii="Courier New" w:hAnsi="Courier New"/>
          <w:b/>
          <w:i/>
          <w:color w:val="002060"/>
          <w:sz w:val="24"/>
          <w:szCs w:val="24"/>
          <w:u w:val="single"/>
          <w:lang w:val="es-ES_tradnl"/>
        </w:rPr>
        <w:t>tiene efecto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</w:t>
      </w:r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 xml:space="preserve">contra los terceros 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poseedores de la cosa inmueble entregada a la  parte,  contra la cual la  nulidad  se  hubiese  pronunciado.</w:t>
      </w:r>
    </w:p>
    <w:p w:rsidR="00275AD4" w:rsidRPr="008F6644" w:rsidRDefault="00275AD4" w:rsidP="00275AD4">
      <w:pPr>
        <w:pStyle w:val="Predeterminado"/>
        <w:jc w:val="both"/>
        <w:rPr>
          <w:i/>
          <w:color w:val="002060"/>
          <w:sz w:val="24"/>
          <w:szCs w:val="24"/>
        </w:rPr>
      </w:pPr>
    </w:p>
    <w:p w:rsidR="00275AD4" w:rsidRPr="008F6644" w:rsidRDefault="00275AD4" w:rsidP="00275AD4">
      <w:pPr>
        <w:pStyle w:val="Predeterminado"/>
        <w:jc w:val="both"/>
        <w:rPr>
          <w:i/>
          <w:color w:val="002060"/>
          <w:sz w:val="24"/>
          <w:szCs w:val="24"/>
        </w:rPr>
      </w:pPr>
      <w:r w:rsidRPr="008F6644">
        <w:rPr>
          <w:b/>
          <w:i/>
          <w:color w:val="002060"/>
          <w:sz w:val="24"/>
          <w:szCs w:val="24"/>
          <w:lang w:val="es-ES_tradnl"/>
        </w:rPr>
        <w:t xml:space="preserve">Artículo 1488 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El </w:t>
      </w:r>
      <w:proofErr w:type="spellStart"/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>copermutante</w:t>
      </w:r>
      <w:proofErr w:type="spellEnd"/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que </w:t>
      </w:r>
      <w:r w:rsidRPr="008F6644">
        <w:rPr>
          <w:rFonts w:ascii="Courier New" w:hAnsi="Courier New"/>
          <w:b/>
          <w:i/>
          <w:color w:val="002060"/>
          <w:sz w:val="24"/>
          <w:szCs w:val="24"/>
          <w:u w:val="single"/>
          <w:lang w:val="es-ES_tradnl"/>
        </w:rPr>
        <w:t>hubiese enajenado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la cosa que se le dio en cambio, </w:t>
      </w:r>
      <w:r w:rsidRPr="008F6644">
        <w:rPr>
          <w:rFonts w:ascii="Courier New" w:hAnsi="Courier New"/>
          <w:b/>
          <w:i/>
          <w:color w:val="002060"/>
          <w:sz w:val="24"/>
          <w:szCs w:val="24"/>
          <w:u w:val="single"/>
          <w:lang w:val="es-ES_tradnl"/>
        </w:rPr>
        <w:t>sabiendo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que ella no pertenecía a la parte de</w:t>
      </w:r>
      <w:r w:rsidRPr="008F6644">
        <w:rPr>
          <w:b/>
          <w:i/>
          <w:color w:val="002060"/>
          <w:sz w:val="24"/>
          <w:szCs w:val="24"/>
          <w:lang w:val="es-ES_tradnl"/>
        </w:rPr>
        <w:t xml:space="preserve"> 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quien la recibió,  </w:t>
      </w:r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>no  podrá  anular  el  contrato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,  mientras que el </w:t>
      </w:r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>poseedor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a quien hubiese pasado la cosa, </w:t>
      </w:r>
      <w:r w:rsidRPr="008F6644">
        <w:rPr>
          <w:rFonts w:ascii="Courier New" w:hAnsi="Courier New"/>
          <w:b/>
          <w:i/>
          <w:color w:val="002060"/>
          <w:sz w:val="24"/>
          <w:szCs w:val="24"/>
          <w:u w:val="single"/>
          <w:lang w:val="es-ES_tradnl"/>
        </w:rPr>
        <w:t>no demandase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 contra él la nulidad de su contrato de adquisición.</w:t>
      </w:r>
    </w:p>
    <w:p w:rsidR="00275AD4" w:rsidRPr="008F6644" w:rsidRDefault="00275AD4" w:rsidP="00275AD4">
      <w:pPr>
        <w:pStyle w:val="Predeterminado"/>
        <w:jc w:val="both"/>
        <w:rPr>
          <w:i/>
          <w:color w:val="002060"/>
          <w:sz w:val="24"/>
          <w:szCs w:val="24"/>
        </w:rPr>
      </w:pPr>
    </w:p>
    <w:p w:rsidR="00275AD4" w:rsidRPr="008F6644" w:rsidRDefault="00275AD4" w:rsidP="00275AD4">
      <w:pPr>
        <w:pStyle w:val="Predeterminado"/>
        <w:jc w:val="both"/>
        <w:rPr>
          <w:i/>
          <w:color w:val="002060"/>
          <w:sz w:val="24"/>
          <w:szCs w:val="24"/>
        </w:rPr>
      </w:pPr>
      <w:r w:rsidRPr="008F6644">
        <w:rPr>
          <w:b/>
          <w:i/>
          <w:color w:val="002060"/>
          <w:sz w:val="24"/>
          <w:szCs w:val="24"/>
          <w:lang w:val="es-ES_tradnl"/>
        </w:rPr>
        <w:t>Artículo 1489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-El </w:t>
      </w:r>
      <w:proofErr w:type="spellStart"/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>copermutante</w:t>
      </w:r>
      <w:proofErr w:type="spellEnd"/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 xml:space="preserve"> vencido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en la propiedad de la cosa que ha recibido en cambio, </w:t>
      </w:r>
      <w:r w:rsidRPr="008F6644">
        <w:rPr>
          <w:rFonts w:ascii="Courier New" w:hAnsi="Courier New"/>
          <w:b/>
          <w:i/>
          <w:color w:val="002060"/>
          <w:sz w:val="24"/>
          <w:szCs w:val="24"/>
          <w:u w:val="single"/>
          <w:lang w:val="es-ES_tradnl"/>
        </w:rPr>
        <w:t>puede reclamar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 a  su  elección,  </w:t>
      </w:r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>la restitución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de  su  propia cosa, o </w:t>
      </w:r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>el valor de la que se le hubiese dado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en cambio, con </w:t>
      </w:r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>pago de los daños e intereses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>.</w:t>
      </w:r>
    </w:p>
    <w:p w:rsidR="00275AD4" w:rsidRPr="008F6644" w:rsidRDefault="00275AD4" w:rsidP="00275AD4">
      <w:pPr>
        <w:pStyle w:val="Predeterminado"/>
        <w:jc w:val="both"/>
        <w:rPr>
          <w:i/>
          <w:color w:val="002060"/>
          <w:sz w:val="24"/>
          <w:szCs w:val="24"/>
        </w:rPr>
      </w:pPr>
    </w:p>
    <w:p w:rsidR="00275AD4" w:rsidRPr="008F6644" w:rsidRDefault="00275AD4" w:rsidP="00275AD4">
      <w:pPr>
        <w:pStyle w:val="Predeterminado"/>
        <w:jc w:val="both"/>
        <w:rPr>
          <w:i/>
          <w:color w:val="002060"/>
          <w:sz w:val="24"/>
          <w:szCs w:val="24"/>
        </w:rPr>
      </w:pPr>
    </w:p>
    <w:p w:rsidR="00275AD4" w:rsidRPr="008F6644" w:rsidRDefault="00275AD4" w:rsidP="00275AD4">
      <w:pPr>
        <w:pStyle w:val="Predeterminado"/>
        <w:jc w:val="both"/>
        <w:rPr>
          <w:i/>
          <w:color w:val="002060"/>
          <w:sz w:val="24"/>
          <w:szCs w:val="24"/>
        </w:rPr>
      </w:pPr>
      <w:r w:rsidRPr="008F6644">
        <w:rPr>
          <w:b/>
          <w:i/>
          <w:color w:val="002060"/>
          <w:sz w:val="24"/>
          <w:szCs w:val="24"/>
          <w:lang w:val="es-ES_tradnl"/>
        </w:rPr>
        <w:t>Artículo 1490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>-</w:t>
      </w:r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>No pueden permutar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>, los que no pueden comprar y vender.</w:t>
      </w:r>
    </w:p>
    <w:p w:rsidR="00275AD4" w:rsidRPr="008F6644" w:rsidRDefault="00275AD4" w:rsidP="00275AD4">
      <w:pPr>
        <w:pStyle w:val="Predeterminado"/>
        <w:jc w:val="both"/>
        <w:rPr>
          <w:i/>
          <w:color w:val="002060"/>
          <w:sz w:val="24"/>
          <w:szCs w:val="24"/>
        </w:rPr>
      </w:pPr>
    </w:p>
    <w:p w:rsidR="00275AD4" w:rsidRPr="008F6644" w:rsidRDefault="00275AD4" w:rsidP="00275AD4">
      <w:pPr>
        <w:pStyle w:val="Predeterminado"/>
        <w:jc w:val="both"/>
        <w:rPr>
          <w:i/>
          <w:color w:val="002060"/>
          <w:sz w:val="24"/>
          <w:szCs w:val="24"/>
        </w:rPr>
      </w:pPr>
      <w:r w:rsidRPr="008F6644">
        <w:rPr>
          <w:b/>
          <w:i/>
          <w:color w:val="002060"/>
          <w:sz w:val="24"/>
          <w:szCs w:val="24"/>
          <w:lang w:val="es-ES_tradnl"/>
        </w:rPr>
        <w:t>Artículo 1491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>-</w:t>
      </w:r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>No  pueden  permutarse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>, las cosas que no pueden venderse.</w:t>
      </w:r>
    </w:p>
    <w:p w:rsidR="00275AD4" w:rsidRPr="008F6644" w:rsidRDefault="00275AD4" w:rsidP="00275AD4">
      <w:pPr>
        <w:pStyle w:val="Predeterminado"/>
        <w:jc w:val="both"/>
        <w:rPr>
          <w:i/>
          <w:color w:val="002060"/>
          <w:sz w:val="24"/>
          <w:szCs w:val="24"/>
        </w:rPr>
      </w:pPr>
    </w:p>
    <w:p w:rsidR="00275AD4" w:rsidRPr="008F6644" w:rsidRDefault="00275AD4" w:rsidP="00275AD4">
      <w:pPr>
        <w:pStyle w:val="Predeterminado"/>
        <w:jc w:val="both"/>
        <w:rPr>
          <w:i/>
          <w:color w:val="002060"/>
          <w:sz w:val="24"/>
          <w:szCs w:val="24"/>
        </w:rPr>
      </w:pPr>
      <w:r w:rsidRPr="008F6644">
        <w:rPr>
          <w:b/>
          <w:i/>
          <w:color w:val="002060"/>
          <w:sz w:val="24"/>
          <w:szCs w:val="24"/>
          <w:lang w:val="es-ES_tradnl"/>
        </w:rPr>
        <w:t>Artículo 1492.-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En todo lo que </w:t>
      </w:r>
      <w:r w:rsidRPr="008F6644">
        <w:rPr>
          <w:rFonts w:ascii="Courier New" w:hAnsi="Courier New"/>
          <w:b/>
          <w:i/>
          <w:color w:val="002060"/>
          <w:sz w:val="24"/>
          <w:szCs w:val="24"/>
          <w:lang w:val="es-ES_tradnl"/>
        </w:rPr>
        <w:t>no se haya determinado especialmente,  en  este  título,</w:t>
      </w:r>
      <w:r w:rsidRPr="008F6644">
        <w:rPr>
          <w:rFonts w:ascii="Courier New" w:hAnsi="Courier New"/>
          <w:i/>
          <w:color w:val="002060"/>
          <w:sz w:val="24"/>
          <w:szCs w:val="24"/>
          <w:lang w:val="es-ES_tradnl"/>
        </w:rPr>
        <w:t xml:space="preserve"> la  permutación  se  rige por las disposiciones concernientes a la venta.</w:t>
      </w:r>
    </w:p>
    <w:p w:rsidR="001D73C3" w:rsidRPr="008F6644" w:rsidRDefault="001D73C3">
      <w:pPr>
        <w:rPr>
          <w:i/>
          <w:color w:val="002060"/>
          <w:sz w:val="24"/>
          <w:szCs w:val="24"/>
        </w:rPr>
      </w:pPr>
    </w:p>
    <w:sectPr w:rsidR="001D73C3" w:rsidRPr="008F6644" w:rsidSect="001D73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75AD4"/>
    <w:rsid w:val="001D73C3"/>
    <w:rsid w:val="00275AD4"/>
    <w:rsid w:val="00411F60"/>
    <w:rsid w:val="008F6644"/>
    <w:rsid w:val="009E1D85"/>
    <w:rsid w:val="00E23AC2"/>
    <w:rsid w:val="00E3277C"/>
    <w:rsid w:val="00E8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C3"/>
  </w:style>
  <w:style w:type="paragraph" w:styleId="Ttulo1">
    <w:name w:val="heading 1"/>
    <w:basedOn w:val="Predeterminado"/>
    <w:next w:val="Predeterminado"/>
    <w:link w:val="Ttulo1Car"/>
    <w:uiPriority w:val="99"/>
    <w:qFormat/>
    <w:rsid w:val="00275AD4"/>
    <w:pPr>
      <w:keepNext/>
      <w:jc w:val="both"/>
      <w:outlineLvl w:val="0"/>
    </w:pPr>
    <w:rPr>
      <w:b/>
      <w:bCs/>
      <w:sz w:val="28"/>
      <w:szCs w:val="28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75AD4"/>
    <w:rPr>
      <w:rFonts w:ascii="Times New Roman" w:eastAsia="Times New Roman" w:hAnsi="Times New Roman" w:cs="Times New Roman"/>
      <w:b/>
      <w:bCs/>
      <w:kern w:val="1"/>
      <w:sz w:val="28"/>
      <w:szCs w:val="28"/>
      <w:lang w:val="es-ES_tradnl" w:eastAsia="es-ES"/>
    </w:rPr>
  </w:style>
  <w:style w:type="paragraph" w:customStyle="1" w:styleId="Predeterminado">
    <w:name w:val="Predeterminado"/>
    <w:rsid w:val="00275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s-ES" w:eastAsia="es-E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danpensa</dc:creator>
  <cp:lastModifiedBy>danpensa</cp:lastModifiedBy>
  <cp:revision>5</cp:revision>
  <dcterms:created xsi:type="dcterms:W3CDTF">2014-02-19T11:10:00Z</dcterms:created>
  <dcterms:modified xsi:type="dcterms:W3CDTF">2014-02-19T13:13:00Z</dcterms:modified>
</cp:coreProperties>
</file>