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A624E3" w:rsidRDefault="00A458B6" w:rsidP="00A458B6">
      <w:pPr>
        <w:jc w:val="center"/>
        <w:rPr>
          <w:rFonts w:ascii="Arial" w:hAnsi="Arial" w:cs="Arial"/>
          <w:b/>
          <w:sz w:val="28"/>
          <w:szCs w:val="28"/>
        </w:rPr>
      </w:pPr>
      <w:r w:rsidRPr="00A458B6">
        <w:rPr>
          <w:rFonts w:ascii="Arial" w:hAnsi="Arial" w:cs="Arial"/>
          <w:b/>
          <w:sz w:val="28"/>
          <w:szCs w:val="28"/>
        </w:rPr>
        <w:t>ACCIONES</w:t>
      </w:r>
    </w:p>
    <w:p w:rsidR="00A458B6" w:rsidRPr="00A458B6" w:rsidRDefault="00A458B6" w:rsidP="00A458B6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458B6">
        <w:rPr>
          <w:rFonts w:ascii="Arial" w:eastAsia="Times New Roman" w:hAnsi="Arial" w:cs="Arial"/>
          <w:b/>
          <w:bCs/>
          <w:lang w:eastAsia="es-CO"/>
        </w:rPr>
        <w:t>ASPECTOS INSTITUCIONALES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1. Creación del Sistema Nacional de Tránsito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2. Creación del Comité Interministerial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3. Creación del Consejo Nacional de Seguridad Vial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4. Fortalecimiento del Ministerio de Transporte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5. Fortalecimiento territorial para la seguridad vial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6. Vigilancia y control.</w:t>
      </w:r>
    </w:p>
    <w:p w:rsidR="00A458B6" w:rsidRPr="00A458B6" w:rsidRDefault="00A458B6" w:rsidP="00A458B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s-CO"/>
        </w:rPr>
      </w:pPr>
      <w:r w:rsidRPr="00A458B6">
        <w:rPr>
          <w:rFonts w:ascii="Arial" w:eastAsia="Times New Roman" w:hAnsi="Arial" w:cs="Arial"/>
          <w:b/>
          <w:bCs/>
          <w:lang w:eastAsia="es-CO"/>
        </w:rPr>
        <w:t xml:space="preserve">2.  </w:t>
      </w:r>
      <w:r w:rsidRPr="00A458B6">
        <w:rPr>
          <w:rFonts w:ascii="Arial" w:eastAsia="Times New Roman" w:hAnsi="Arial" w:cs="Arial"/>
          <w:b/>
          <w:bCs/>
          <w:lang w:eastAsia="es-CO"/>
        </w:rPr>
        <w:t>ESTRATEGIAS SOBRE EL COMPORTAMIENTO HUMANO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1. Reforma Código Nacional de Tránsito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2. Reforma al Sistema de Otorgamiento de Licencias de Conducción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3. Licencias de Conducción por puntos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4. Seguridad y capacitación a los conductores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5. Regulación de las horas de conducción y descanso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6. Campañas comunicacionales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7. Regulación del alcohol en la conducción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8. Educación Vial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9. Control del uso del cinturón seguridad y dispositivos retención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10. Regulación del casco para motociclistas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11. Regulación de la velocidad</w:t>
      </w:r>
    </w:p>
    <w:p w:rsidR="00A458B6" w:rsidRPr="00A458B6" w:rsidRDefault="00A458B6" w:rsidP="00A458B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s-CO"/>
        </w:rPr>
      </w:pPr>
      <w:r w:rsidRPr="00A458B6">
        <w:rPr>
          <w:rFonts w:ascii="Arial" w:eastAsia="Times New Roman" w:hAnsi="Arial" w:cs="Arial"/>
          <w:b/>
          <w:bCs/>
          <w:lang w:eastAsia="es-CO"/>
        </w:rPr>
        <w:t xml:space="preserve">3. </w:t>
      </w:r>
      <w:r w:rsidRPr="00A458B6">
        <w:rPr>
          <w:rFonts w:ascii="Arial" w:eastAsia="Times New Roman" w:hAnsi="Arial" w:cs="Arial"/>
          <w:b/>
          <w:bCs/>
          <w:lang w:eastAsia="es-CO"/>
        </w:rPr>
        <w:t>ESTRATEGIAS SOBRE LOS VEHÍCULOS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1. Equipamiento de seguridad para motos o vehículos similares y sus conductores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2. Diseño seguro de vehículos automotores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3. Localizadores de flotas-GPS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lastRenderedPageBreak/>
        <w:t>4. Retroreflectividad en los vehículos de carga y en el transporte escolar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5. Homologación de los vehículos automotores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6. Sistemas de seguridad activa y pasiva</w:t>
      </w:r>
    </w:p>
    <w:p w:rsid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7. Revisión técnico-mecánica de los vehículos.</w:t>
      </w:r>
    </w:p>
    <w:p w:rsidR="00A458B6" w:rsidRPr="00A458B6" w:rsidRDefault="00A458B6" w:rsidP="00A458B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s-CO"/>
        </w:rPr>
      </w:pPr>
      <w:r w:rsidRPr="00A458B6">
        <w:rPr>
          <w:rFonts w:ascii="Arial" w:eastAsia="Times New Roman" w:hAnsi="Arial" w:cs="Arial"/>
          <w:b/>
          <w:bCs/>
          <w:lang w:eastAsia="es-CO"/>
        </w:rPr>
        <w:t xml:space="preserve">4. </w:t>
      </w:r>
      <w:r w:rsidRPr="00A458B6">
        <w:rPr>
          <w:rFonts w:ascii="Arial" w:eastAsia="Times New Roman" w:hAnsi="Arial" w:cs="Arial"/>
          <w:b/>
          <w:bCs/>
          <w:lang w:eastAsia="es-CO"/>
        </w:rPr>
        <w:t>ESTRATEGIAS SOBRE LA INFRAESTRUCTURA VIAL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1. Auditorías de seguridad vial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2. Intervención de puntos negros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3. Jerarquización de la red vial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4. Mejoras en la infraestructura vial</w:t>
      </w:r>
    </w:p>
    <w:p w:rsidR="00A458B6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5. Normatividad para la infraestructura vial</w:t>
      </w:r>
    </w:p>
    <w:p w:rsidR="00A458B6" w:rsidRPr="00A458B6" w:rsidRDefault="00A458B6" w:rsidP="00A458B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s-CO"/>
        </w:rPr>
      </w:pPr>
      <w:r w:rsidRPr="00A458B6">
        <w:rPr>
          <w:rFonts w:ascii="Arial" w:eastAsia="Times New Roman" w:hAnsi="Arial" w:cs="Arial"/>
          <w:b/>
          <w:bCs/>
          <w:lang w:eastAsia="es-CO"/>
        </w:rPr>
        <w:t xml:space="preserve">5. </w:t>
      </w:r>
      <w:r w:rsidRPr="00A458B6">
        <w:rPr>
          <w:rFonts w:ascii="Arial" w:eastAsia="Times New Roman" w:hAnsi="Arial" w:cs="Arial"/>
          <w:b/>
          <w:bCs/>
          <w:lang w:eastAsia="es-CO"/>
        </w:rPr>
        <w:t>SISTEMAS DE ATENCIÓN Y REHABILITACIÓN A VÍCTIMAS</w:t>
      </w:r>
    </w:p>
    <w:p w:rsidR="00B13178" w:rsidRPr="00A458B6" w:rsidRDefault="00A458B6" w:rsidP="00A458B6">
      <w:pPr>
        <w:spacing w:before="100" w:beforeAutospacing="1" w:after="100" w:afterAutospacing="1"/>
        <w:rPr>
          <w:rFonts w:ascii="Arial" w:eastAsia="Times New Roman" w:hAnsi="Arial" w:cs="Arial"/>
          <w:lang w:eastAsia="es-CO"/>
        </w:rPr>
      </w:pPr>
      <w:r w:rsidRPr="00A458B6">
        <w:rPr>
          <w:rFonts w:ascii="Arial" w:eastAsia="Times New Roman" w:hAnsi="Arial" w:cs="Arial"/>
          <w:lang w:eastAsia="es-CO"/>
        </w:rPr>
        <w:t>1. Atención y rehabilitación a víctimas.</w:t>
      </w:r>
    </w:p>
    <w:p w:rsidR="00B13178" w:rsidRDefault="00B13178" w:rsidP="00B1317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>El Viceministerio</w:t>
      </w:r>
      <w:r w:rsidRPr="00023DE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 xml:space="preserve"> de Transporte será el encargado de la puesta en marcha y la ejecución del "Plan Nacional de Seguridad Vial 2011-2016".</w:t>
      </w:r>
    </w:p>
    <w:p w:rsidR="00B13178" w:rsidRPr="00023DE8" w:rsidRDefault="00B13178" w:rsidP="00B1317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>El Plan</w:t>
      </w:r>
      <w:r w:rsidRPr="00023DE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 xml:space="preserve"> d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>e Seguridad Vial que desarrolle</w:t>
      </w:r>
      <w:r w:rsidRPr="00023DE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>el Área metropolitana Centro Occidente</w:t>
      </w:r>
      <w:r w:rsidRPr="00023DE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 xml:space="preserve">, se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 xml:space="preserve">deberá elaborarse </w:t>
      </w:r>
      <w:r w:rsidRPr="00023DE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CO"/>
        </w:rPr>
        <w:t xml:space="preserve"> con base en los fundamentos y políticas definidos en el Plan Nacional de Seguridad Vial adoptado en la resolución</w:t>
      </w:r>
      <w:bookmarkStart w:id="0" w:name="_GoBack"/>
      <w:bookmarkEnd w:id="0"/>
    </w:p>
    <w:p w:rsidR="00A458B6" w:rsidRPr="00A458B6" w:rsidRDefault="00A458B6" w:rsidP="00A458B6">
      <w:pPr>
        <w:rPr>
          <w:rFonts w:ascii="Arial" w:hAnsi="Arial" w:cs="Arial"/>
          <w:b/>
        </w:rPr>
      </w:pPr>
    </w:p>
    <w:sectPr w:rsidR="00A458B6" w:rsidRPr="00A458B6" w:rsidSect="00B13178">
      <w:pgSz w:w="12240" w:h="15840"/>
      <w:pgMar w:top="1417" w:right="1701" w:bottom="1417" w:left="1701" w:header="708" w:footer="708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3B75"/>
    <w:multiLevelType w:val="hybridMultilevel"/>
    <w:tmpl w:val="FEB8669A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B6"/>
    <w:rsid w:val="00A458B6"/>
    <w:rsid w:val="00A624E3"/>
    <w:rsid w:val="00B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6F745-A4A1-4975-AC02-63218F35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Arcila</dc:creator>
  <cp:keywords/>
  <dc:description/>
  <cp:lastModifiedBy>Carlos Arcila</cp:lastModifiedBy>
  <cp:revision>1</cp:revision>
  <dcterms:created xsi:type="dcterms:W3CDTF">2014-09-11T01:04:00Z</dcterms:created>
  <dcterms:modified xsi:type="dcterms:W3CDTF">2014-09-11T01:22:00Z</dcterms:modified>
</cp:coreProperties>
</file>