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80" w:rsidRPr="00543B55" w:rsidRDefault="00A30F80" w:rsidP="00A30F80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543B55">
        <w:rPr>
          <w:rFonts w:ascii="Georgia" w:hAnsi="Georgia" w:cs="Georgia"/>
          <w:color w:val="000000" w:themeColor="text1"/>
          <w:sz w:val="21"/>
          <w:szCs w:val="21"/>
        </w:rPr>
        <w:t>Cardinalidad</w:t>
      </w:r>
    </w:p>
    <w:p w:rsidR="00A30F80" w:rsidRPr="00543B55" w:rsidRDefault="00A30F80" w:rsidP="00A30F80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 w:themeColor="text1"/>
          <w:sz w:val="21"/>
          <w:szCs w:val="21"/>
        </w:rPr>
      </w:pPr>
      <w:r w:rsidRPr="00543B55">
        <w:rPr>
          <w:rFonts w:ascii="Arial" w:hAnsi="Arial" w:cs="Arial"/>
          <w:color w:val="000000" w:themeColor="text1"/>
          <w:sz w:val="21"/>
          <w:szCs w:val="21"/>
        </w:rPr>
        <w:t>Dado un conjunto de relaciones en el que participan dos o más conjuntos de entidades, la correspondencia de cardinalidad indica el número de entidades con las que puede estar relacionada una entidad dada.</w:t>
      </w:r>
      <w:bookmarkStart w:id="0" w:name="_GoBack"/>
      <w:bookmarkEnd w:id="0"/>
    </w:p>
    <w:sectPr w:rsidR="00A30F80" w:rsidRPr="00543B55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2C2C"/>
    <w:multiLevelType w:val="hybridMultilevel"/>
    <w:tmpl w:val="9B5EF4BC"/>
    <w:lvl w:ilvl="0" w:tplc="08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2CD407B7"/>
    <w:multiLevelType w:val="hybridMultilevel"/>
    <w:tmpl w:val="3702B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7D2E"/>
    <w:multiLevelType w:val="hybridMultilevel"/>
    <w:tmpl w:val="28826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0"/>
    <w:rsid w:val="0025225E"/>
    <w:rsid w:val="002F4B27"/>
    <w:rsid w:val="00315900"/>
    <w:rsid w:val="004033A1"/>
    <w:rsid w:val="00543B55"/>
    <w:rsid w:val="005678B6"/>
    <w:rsid w:val="00A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5770D-29B4-43C3-9802-4B113BB9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3</cp:revision>
  <dcterms:created xsi:type="dcterms:W3CDTF">2015-02-01T21:44:00Z</dcterms:created>
  <dcterms:modified xsi:type="dcterms:W3CDTF">2015-02-01T23:24:00Z</dcterms:modified>
</cp:coreProperties>
</file>