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0" w:rsidRPr="00D412F2" w:rsidRDefault="00054E20" w:rsidP="00054E20">
      <w:pPr>
        <w:rPr>
          <w:lang w:val="es-ES"/>
        </w:rPr>
      </w:pPr>
      <w:r>
        <w:rPr>
          <w:lang w:val="es-ES"/>
        </w:rPr>
        <w:t>Se estipulan algunas de las áreas donde se aplica la base de datos en la vida cotidiana como son:</w:t>
      </w:r>
    </w:p>
    <w:p w:rsidR="00054E20" w:rsidRPr="00746AB6" w:rsidRDefault="00054E20" w:rsidP="00054E20">
      <w:pPr>
        <w:pStyle w:val="Prrafodelista"/>
        <w:numPr>
          <w:ilvl w:val="0"/>
          <w:numId w:val="1"/>
        </w:numPr>
        <w:spacing w:after="0" w:line="480" w:lineRule="auto"/>
        <w:ind w:firstLine="2115"/>
        <w:jc w:val="both"/>
        <w:rPr>
          <w:rFonts w:ascii="Times-Roman" w:hAnsi="Times-Roman" w:cs="Times-Roman"/>
          <w:sz w:val="22"/>
          <w:lang w:val="es-ES"/>
        </w:rPr>
      </w:pPr>
      <w:r w:rsidRPr="00746AB6">
        <w:rPr>
          <w:rFonts w:ascii="Times-Roman" w:hAnsi="Times-Roman" w:cs="Times-Roman"/>
          <w:sz w:val="22"/>
          <w:lang w:val="es-ES"/>
        </w:rPr>
        <w:t>“Banca. Para información de los clientes, cuentas y préstamos, y transacciones bancarias.</w:t>
      </w:r>
    </w:p>
    <w:p w:rsidR="00054E20" w:rsidRPr="00746AB6" w:rsidRDefault="00054E20" w:rsidP="00054E20">
      <w:pPr>
        <w:spacing w:after="0" w:line="480" w:lineRule="auto"/>
        <w:jc w:val="both"/>
        <w:rPr>
          <w:rFonts w:ascii="Times-Roman" w:hAnsi="Times-Roman" w:cs="Times-Roman"/>
          <w:sz w:val="22"/>
          <w:lang w:val="es-ES"/>
        </w:rPr>
      </w:pPr>
      <w:r w:rsidRPr="00746AB6">
        <w:rPr>
          <w:rFonts w:ascii="Times-Roman" w:hAnsi="Times-Roman" w:cs="Times-Roman"/>
          <w:sz w:val="22"/>
          <w:lang w:val="es-ES"/>
        </w:rPr>
        <w:t>• Universidades. Para información de los estudiantes, matrículas de las asignaturas y cursos.</w:t>
      </w:r>
    </w:p>
    <w:p w:rsidR="00054E20" w:rsidRPr="00746AB6" w:rsidRDefault="00054E20" w:rsidP="00054E20">
      <w:pPr>
        <w:spacing w:after="0" w:line="480" w:lineRule="auto"/>
        <w:jc w:val="both"/>
        <w:rPr>
          <w:rFonts w:ascii="Times-Roman" w:hAnsi="Times-Roman" w:cs="Times-Roman"/>
          <w:sz w:val="22"/>
          <w:lang w:val="es-ES"/>
        </w:rPr>
      </w:pPr>
      <w:r w:rsidRPr="00746AB6">
        <w:rPr>
          <w:rFonts w:ascii="Times-Roman" w:hAnsi="Times-Roman" w:cs="Times-Roman"/>
          <w:sz w:val="22"/>
          <w:lang w:val="es-ES"/>
        </w:rPr>
        <w:t>• Telecomunicaciones. Para guardar un registro de las llamadas realizadas, generación mensual de facturas, manteniendo el saldo de las tarjetas telefónicas de prepago y para almacenar información sobre las redes de comunicaciones.</w:t>
      </w:r>
    </w:p>
    <w:p w:rsidR="00054E20" w:rsidRPr="00746AB6" w:rsidRDefault="00054E20" w:rsidP="00054E20">
      <w:pPr>
        <w:spacing w:after="0" w:line="480" w:lineRule="auto"/>
        <w:jc w:val="both"/>
        <w:rPr>
          <w:rFonts w:ascii="Times-Roman" w:hAnsi="Times-Roman" w:cs="Times-Roman"/>
          <w:sz w:val="22"/>
          <w:lang w:val="es-ES"/>
        </w:rPr>
      </w:pPr>
      <w:r w:rsidRPr="00746AB6">
        <w:rPr>
          <w:rFonts w:ascii="Times-Roman" w:hAnsi="Times-Roman" w:cs="Times-Roman"/>
          <w:sz w:val="22"/>
          <w:lang w:val="es-ES"/>
        </w:rPr>
        <w:t>• Ventas. Para información de clientes, productos y compras.”</w:t>
      </w:r>
    </w:p>
    <w:p w:rsidR="00054E20" w:rsidRDefault="00054E20" w:rsidP="00054E20">
      <w:pPr>
        <w:spacing w:after="0" w:line="480" w:lineRule="auto"/>
        <w:jc w:val="both"/>
        <w:rPr>
          <w:rFonts w:ascii="Times-Roman" w:hAnsi="Times-Roman" w:cs="Times-Roman"/>
          <w:szCs w:val="24"/>
          <w:lang w:val="es-ES"/>
        </w:rPr>
      </w:pPr>
      <w:r>
        <w:rPr>
          <w:rFonts w:ascii="Times-Roman" w:hAnsi="Times-Roman" w:cs="Times-Roman"/>
          <w:szCs w:val="24"/>
          <w:lang w:val="es-ES"/>
        </w:rPr>
        <w:t xml:space="preserve">Esto es referente al tipo de lugares que tiene aplicación en la vida cotidiana in darnos cuenta que llevan una base de datos  </w:t>
      </w:r>
      <w:sdt>
        <w:sdtPr>
          <w:rPr>
            <w:rFonts w:ascii="Times-Roman" w:hAnsi="Times-Roman" w:cs="Times-Roman"/>
            <w:szCs w:val="24"/>
            <w:lang w:val="es-ES"/>
          </w:rPr>
          <w:id w:val="1093515317"/>
          <w:citation/>
        </w:sdtPr>
        <w:sdtContent>
          <w:r>
            <w:rPr>
              <w:rFonts w:ascii="Times-Roman" w:hAnsi="Times-Roman" w:cs="Times-Roman"/>
              <w:szCs w:val="24"/>
              <w:lang w:val="es-ES"/>
            </w:rPr>
            <w:fldChar w:fldCharType="begin"/>
          </w:r>
          <w:r>
            <w:rPr>
              <w:rFonts w:ascii="Times-Roman" w:hAnsi="Times-Roman" w:cs="Times-Roman"/>
              <w:szCs w:val="24"/>
              <w:lang w:val="es-ES_tradnl"/>
            </w:rPr>
            <w:instrText xml:space="preserve">CITATION Abr02 \p 1 \t  \l 1034 </w:instrText>
          </w:r>
          <w:r>
            <w:rPr>
              <w:rFonts w:ascii="Times-Roman" w:hAnsi="Times-Roman" w:cs="Times-Roman"/>
              <w:szCs w:val="24"/>
              <w:lang w:val="es-ES"/>
            </w:rPr>
            <w:fldChar w:fldCharType="separate"/>
          </w:r>
          <w:r w:rsidRPr="005B71AF">
            <w:rPr>
              <w:rFonts w:ascii="Times-Roman" w:hAnsi="Times-Roman" w:cs="Times-Roman"/>
              <w:noProof/>
              <w:szCs w:val="24"/>
              <w:lang w:val="es-ES_tradnl"/>
            </w:rPr>
            <w:t>(Abraham Silberschatz, 2002, pág. 1)</w:t>
          </w:r>
          <w:r>
            <w:rPr>
              <w:rFonts w:ascii="Times-Roman" w:hAnsi="Times-Roman" w:cs="Times-Roman"/>
              <w:szCs w:val="24"/>
              <w:lang w:val="es-ES"/>
            </w:rPr>
            <w:fldChar w:fldCharType="end"/>
          </w:r>
        </w:sdtContent>
      </w:sdt>
    </w:p>
    <w:p w:rsidR="004304D9" w:rsidRPr="00EA2CDD" w:rsidRDefault="004304D9">
      <w:pPr>
        <w:rPr>
          <w:lang w:val="es-ES"/>
        </w:rPr>
      </w:pPr>
      <w:bookmarkStart w:id="0" w:name="_GoBack"/>
      <w:bookmarkEnd w:id="0"/>
    </w:p>
    <w:sectPr w:rsidR="004304D9" w:rsidRPr="00EA2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2C6F"/>
    <w:multiLevelType w:val="hybridMultilevel"/>
    <w:tmpl w:val="B26E9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D"/>
    <w:rsid w:val="00054E20"/>
    <w:rsid w:val="000B4CC7"/>
    <w:rsid w:val="004304D9"/>
    <w:rsid w:val="005C3C68"/>
    <w:rsid w:val="005F0459"/>
    <w:rsid w:val="00974386"/>
    <w:rsid w:val="00A116C6"/>
    <w:rsid w:val="00D1663D"/>
    <w:rsid w:val="00E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DD"/>
    <w:pPr>
      <w:spacing w:before="40" w:after="40" w:line="240" w:lineRule="auto"/>
      <w:ind w:firstLine="2835"/>
    </w:pPr>
    <w:rPr>
      <w:rFonts w:ascii="Times New Roman" w:hAnsi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CDD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05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DD"/>
    <w:pPr>
      <w:spacing w:before="40" w:after="40" w:line="240" w:lineRule="auto"/>
      <w:ind w:firstLine="2835"/>
    </w:pPr>
    <w:rPr>
      <w:rFonts w:ascii="Times New Roman" w:hAnsi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C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CDD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05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MarcadorDePosición1</b:Tag>
    <b:SourceType>Book</b:SourceType>
    <b:Guid>{02DBB50B-CADA-464F-867B-C252BDDE3B80}</b:Guid>
    <b:Title>Fundamentos de base de datos</b:Title>
    <b:Year>2002</b:Year>
    <b:Publisher>McGrawl Hill</b:Publisher>
    <b:Author>
      <b:Author>
        <b:NameList>
          <b:Person>
            <b:Last>Abraham Silberschatz</b:Last>
            <b:First>Henry</b:First>
            <b:Middle>F. Korth,</b:Middle>
          </b:Person>
        </b:NameList>
      </b:Author>
    </b:Author>
    <b:RefOrder>1</b:RefOrder>
  </b:Source>
  <b:Source>
    <b:Tag>Abr02</b:Tag>
    <b:SourceType>Book</b:SourceType>
    <b:Guid>{02DBB50B-CADA-464F-867B-C252BDDE3B80}</b:Guid>
    <b:Title>Fundamentos de base de datos</b:Title>
    <b:Year>2002</b:Year>
    <b:Publisher>McGrawl Hill</b:Publisher>
    <b:Author>
      <b:Author>
        <b:NameList>
          <b:Person>
            <b:Last>Abraham Silberschatz</b:Last>
            <b:First>Henry</b:First>
            <b:Middle>F. Korth,</b:Middle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3D9C5613-3934-4434-9093-43892E40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2015-02-18T04:38:00Z</dcterms:created>
  <dcterms:modified xsi:type="dcterms:W3CDTF">2015-02-18T04:38:00Z</dcterms:modified>
</cp:coreProperties>
</file>