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F9" w:rsidRDefault="00EE17F9" w:rsidP="00EE17F9">
      <w:pPr>
        <w:spacing w:line="480" w:lineRule="auto"/>
        <w:ind w:firstLine="426"/>
        <w:jc w:val="both"/>
        <w:rPr>
          <w:lang w:eastAsia="es-MX"/>
        </w:rPr>
      </w:pPr>
      <w:r>
        <w:rPr>
          <w:lang w:eastAsia="es-MX"/>
        </w:rPr>
        <w:t xml:space="preserve">El autor </w:t>
      </w:r>
      <w:sdt>
        <w:sdtPr>
          <w:rPr>
            <w:lang w:eastAsia="es-MX"/>
          </w:rPr>
          <w:id w:val="-102116948"/>
          <w:citation/>
        </w:sdtPr>
        <w:sdtContent>
          <w:r>
            <w:rPr>
              <w:lang w:eastAsia="es-MX"/>
            </w:rPr>
            <w:fldChar w:fldCharType="begin"/>
          </w:r>
          <w:r>
            <w:rPr>
              <w:lang w:eastAsia="es-MX"/>
            </w:rPr>
            <w:instrText xml:space="preserve">CITATION Abr02 \y  \t  \l 2058 </w:instrText>
          </w:r>
          <w:r>
            <w:rPr>
              <w:lang w:eastAsia="es-MX"/>
            </w:rPr>
            <w:fldChar w:fldCharType="separate"/>
          </w:r>
          <w:r>
            <w:rPr>
              <w:noProof/>
              <w:lang w:eastAsia="es-MX"/>
            </w:rPr>
            <w:t>(Abraham Silberschatz)</w:t>
          </w:r>
          <w:r>
            <w:rPr>
              <w:lang w:eastAsia="es-MX"/>
            </w:rPr>
            <w:fldChar w:fldCharType="end"/>
          </w:r>
        </w:sdtContent>
      </w:sdt>
      <w:r>
        <w:rPr>
          <w:lang w:eastAsia="es-MX"/>
        </w:rPr>
        <w:t xml:space="preserve"> señala que hay 4 tipos específicos de usuarios de los SGBD. Estos son: </w:t>
      </w:r>
    </w:p>
    <w:p w:rsidR="00EE17F9" w:rsidRPr="0083372A" w:rsidRDefault="00EE17F9" w:rsidP="00EE17F9">
      <w:pPr>
        <w:pStyle w:val="Prrafodelista"/>
        <w:numPr>
          <w:ilvl w:val="0"/>
          <w:numId w:val="4"/>
        </w:numPr>
        <w:spacing w:before="0" w:after="200" w:line="480" w:lineRule="auto"/>
        <w:jc w:val="both"/>
        <w:rPr>
          <w:sz w:val="22"/>
          <w:lang w:eastAsia="es-MX"/>
        </w:rPr>
      </w:pPr>
      <w:r w:rsidRPr="0083372A">
        <w:rPr>
          <w:b/>
          <w:bCs/>
          <w:sz w:val="22"/>
          <w:lang w:eastAsia="es-MX"/>
        </w:rPr>
        <w:t xml:space="preserve">Usuarios normales. </w:t>
      </w:r>
      <w:r w:rsidRPr="0083372A">
        <w:rPr>
          <w:sz w:val="22"/>
          <w:lang w:eastAsia="es-MX"/>
        </w:rPr>
        <w:t>Son usuarios no sofisticados que interactúan con el sistema mediante la invocación de alguno de los programas de aplicación permanentes que se ha escrito previamente.</w:t>
      </w:r>
    </w:p>
    <w:p w:rsidR="00EE17F9" w:rsidRPr="0083372A" w:rsidRDefault="00EE17F9" w:rsidP="00EE17F9">
      <w:pPr>
        <w:pStyle w:val="Prrafodelista"/>
        <w:numPr>
          <w:ilvl w:val="0"/>
          <w:numId w:val="4"/>
        </w:numPr>
        <w:spacing w:before="0" w:after="200" w:line="480" w:lineRule="auto"/>
        <w:jc w:val="both"/>
        <w:rPr>
          <w:sz w:val="22"/>
          <w:lang w:eastAsia="es-MX"/>
        </w:rPr>
      </w:pPr>
      <w:r w:rsidRPr="0083372A">
        <w:rPr>
          <w:b/>
          <w:bCs/>
          <w:sz w:val="22"/>
          <w:lang w:eastAsia="es-MX"/>
        </w:rPr>
        <w:t xml:space="preserve">Programadores de aplicaciones. </w:t>
      </w:r>
      <w:r w:rsidRPr="0083372A">
        <w:rPr>
          <w:sz w:val="22"/>
          <w:lang w:eastAsia="es-MX"/>
        </w:rPr>
        <w:t>Son profesionales informáticos que escriben programas de aplicación. Los programadores de aplicaciones pueden elegir entre muchas herramientas para desarrollar interfaces de usuario.</w:t>
      </w:r>
    </w:p>
    <w:p w:rsidR="00EE17F9" w:rsidRPr="0083372A" w:rsidRDefault="00EE17F9" w:rsidP="00EE17F9">
      <w:pPr>
        <w:pStyle w:val="Prrafodelista"/>
        <w:numPr>
          <w:ilvl w:val="0"/>
          <w:numId w:val="4"/>
        </w:numPr>
        <w:spacing w:before="0" w:after="200" w:line="480" w:lineRule="auto"/>
        <w:jc w:val="both"/>
        <w:rPr>
          <w:sz w:val="22"/>
          <w:lang w:eastAsia="es-MX"/>
        </w:rPr>
      </w:pPr>
      <w:r w:rsidRPr="0083372A">
        <w:rPr>
          <w:b/>
          <w:bCs/>
          <w:sz w:val="22"/>
          <w:lang w:eastAsia="es-MX"/>
        </w:rPr>
        <w:t xml:space="preserve">Usuarios sofisticados. </w:t>
      </w:r>
      <w:r w:rsidRPr="0083372A">
        <w:rPr>
          <w:sz w:val="22"/>
          <w:lang w:eastAsia="es-MX"/>
        </w:rPr>
        <w:t>Interactúan con el sistema sin programas escritos. En su lugar, ellos forman sus consultas en un lenguaje de consulta de bases de datos.</w:t>
      </w:r>
    </w:p>
    <w:p w:rsidR="00EE17F9" w:rsidRDefault="00EE17F9" w:rsidP="00EE17F9">
      <w:pPr>
        <w:pStyle w:val="Prrafodelista"/>
        <w:numPr>
          <w:ilvl w:val="0"/>
          <w:numId w:val="4"/>
        </w:numPr>
        <w:spacing w:before="0" w:after="200" w:line="480" w:lineRule="auto"/>
        <w:jc w:val="both"/>
        <w:rPr>
          <w:lang w:eastAsia="es-MX"/>
        </w:rPr>
      </w:pPr>
      <w:r w:rsidRPr="0083372A">
        <w:rPr>
          <w:b/>
          <w:bCs/>
          <w:sz w:val="22"/>
          <w:lang w:eastAsia="es-MX"/>
        </w:rPr>
        <w:t xml:space="preserve">Usuarios especializados. </w:t>
      </w:r>
      <w:r w:rsidRPr="0083372A">
        <w:rPr>
          <w:sz w:val="22"/>
          <w:lang w:eastAsia="es-MX"/>
        </w:rPr>
        <w:t>Son usuarios sofisticados que escriben aplicaciones de bases de datos especializadas que no son adecuadas en el marco de procesamiento de datos tradicional. Entre estas aplicaciones están los sistemas de diseño asistido por computador, sistemas de bases de conocimientos y sistemas expertos, sistemas que almacenan los datos con tipos de datos complejos (por ejemplo, datos gráficos y datos de audio) y sistemas de modelado del entorno.</w:t>
      </w:r>
    </w:p>
    <w:p w:rsidR="00EE17F9" w:rsidRDefault="00EE17F9" w:rsidP="00EE17F9">
      <w:pPr>
        <w:pStyle w:val="Prrafodelista"/>
        <w:spacing w:line="480" w:lineRule="auto"/>
        <w:ind w:left="1004"/>
        <w:jc w:val="both"/>
        <w:rPr>
          <w:lang w:eastAsia="es-MX"/>
        </w:rPr>
      </w:pPr>
      <w:sdt>
        <w:sdtPr>
          <w:rPr>
            <w:lang w:eastAsia="es-MX"/>
          </w:rPr>
          <w:id w:val="109718446"/>
          <w:citation/>
        </w:sdtPr>
        <w:sdtContent>
          <w:r>
            <w:rPr>
              <w:lang w:eastAsia="es-MX"/>
            </w:rPr>
            <w:fldChar w:fldCharType="begin"/>
          </w:r>
          <w:r>
            <w:rPr>
              <w:b/>
              <w:bCs/>
              <w:lang w:eastAsia="es-MX"/>
            </w:rPr>
            <w:instrText xml:space="preserve">CITATION Abr02 \p 9,10 \n  \y  \t  \l 2058 </w:instrText>
          </w:r>
          <w:r>
            <w:rPr>
              <w:lang w:eastAsia="es-MX"/>
            </w:rPr>
            <w:fldChar w:fldCharType="separate"/>
          </w:r>
          <w:r>
            <w:rPr>
              <w:noProof/>
              <w:lang w:eastAsia="es-MX"/>
            </w:rPr>
            <w:t>(págs. 9,10)</w:t>
          </w:r>
          <w:r>
            <w:rPr>
              <w:lang w:eastAsia="es-MX"/>
            </w:rPr>
            <w:fldChar w:fldCharType="end"/>
          </w:r>
        </w:sdtContent>
      </w:sdt>
    </w:p>
    <w:p w:rsidR="00905645" w:rsidRPr="00EE17F9" w:rsidRDefault="00905645" w:rsidP="00905645">
      <w:pPr>
        <w:pStyle w:val="Prrafodelista"/>
        <w:spacing w:after="0" w:line="480" w:lineRule="auto"/>
        <w:ind w:left="0" w:firstLine="0"/>
        <w:jc w:val="both"/>
        <w:rPr>
          <w:rFonts w:cs="Times New Roman"/>
          <w:szCs w:val="24"/>
        </w:rPr>
      </w:pPr>
      <w:bookmarkStart w:id="0" w:name="_GoBack"/>
      <w:bookmarkEnd w:id="0"/>
    </w:p>
    <w:p w:rsidR="00ED2B36" w:rsidRPr="00ED2B36" w:rsidRDefault="00ED2B36" w:rsidP="00ED2B36">
      <w:pPr>
        <w:spacing w:after="0" w:line="480" w:lineRule="auto"/>
        <w:jc w:val="both"/>
        <w:rPr>
          <w:rFonts w:cs="Times New Roman"/>
          <w:szCs w:val="24"/>
        </w:rPr>
      </w:pPr>
    </w:p>
    <w:p w:rsidR="00F70651" w:rsidRPr="00ED2B36" w:rsidRDefault="00F70651" w:rsidP="00F70651">
      <w:pPr>
        <w:spacing w:after="0" w:line="480" w:lineRule="auto"/>
        <w:jc w:val="both"/>
        <w:rPr>
          <w:rFonts w:ascii="Times-Roman" w:hAnsi="Times-Roman" w:cs="Times-Roman"/>
          <w:szCs w:val="24"/>
          <w:lang w:val="es-ES"/>
        </w:rPr>
      </w:pPr>
    </w:p>
    <w:p w:rsidR="004304D9" w:rsidRPr="00EA2CDD" w:rsidRDefault="004304D9">
      <w:pPr>
        <w:rPr>
          <w:lang w:val="es-ES"/>
        </w:rPr>
      </w:pPr>
    </w:p>
    <w:sectPr w:rsidR="004304D9" w:rsidRPr="00EA2C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F6725"/>
    <w:multiLevelType w:val="hybridMultilevel"/>
    <w:tmpl w:val="80A854E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nsid w:val="2D2F1B5A"/>
    <w:multiLevelType w:val="hybridMultilevel"/>
    <w:tmpl w:val="ADA63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314040"/>
    <w:multiLevelType w:val="hybridMultilevel"/>
    <w:tmpl w:val="3E76B15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nsid w:val="6E062C6F"/>
    <w:multiLevelType w:val="hybridMultilevel"/>
    <w:tmpl w:val="B26E9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DD"/>
    <w:rsid w:val="00054E20"/>
    <w:rsid w:val="000B4CC7"/>
    <w:rsid w:val="004304D9"/>
    <w:rsid w:val="0056364B"/>
    <w:rsid w:val="005C3C68"/>
    <w:rsid w:val="005F0459"/>
    <w:rsid w:val="007E175F"/>
    <w:rsid w:val="00905645"/>
    <w:rsid w:val="00974386"/>
    <w:rsid w:val="00A116C6"/>
    <w:rsid w:val="00D1663D"/>
    <w:rsid w:val="00EA2CDD"/>
    <w:rsid w:val="00ED2B36"/>
    <w:rsid w:val="00EE17F9"/>
    <w:rsid w:val="00F706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DD"/>
    <w:pPr>
      <w:spacing w:before="40" w:after="40" w:line="240" w:lineRule="auto"/>
      <w:ind w:firstLine="2835"/>
    </w:pPr>
    <w:rPr>
      <w:rFonts w:ascii="Times New Roman" w:hAnsi="Times New Roman"/>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2CDD"/>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CDD"/>
    <w:rPr>
      <w:rFonts w:ascii="Tahoma" w:hAnsi="Tahoma" w:cs="Tahoma"/>
      <w:sz w:val="16"/>
      <w:szCs w:val="16"/>
      <w:lang w:val="es-MX"/>
    </w:rPr>
  </w:style>
  <w:style w:type="paragraph" w:styleId="Prrafodelista">
    <w:name w:val="List Paragraph"/>
    <w:basedOn w:val="Normal"/>
    <w:uiPriority w:val="34"/>
    <w:qFormat/>
    <w:rsid w:val="00054E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DD"/>
    <w:pPr>
      <w:spacing w:before="40" w:after="40" w:line="240" w:lineRule="auto"/>
      <w:ind w:firstLine="2835"/>
    </w:pPr>
    <w:rPr>
      <w:rFonts w:ascii="Times New Roman" w:hAnsi="Times New Roman"/>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2CDD"/>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CDD"/>
    <w:rPr>
      <w:rFonts w:ascii="Tahoma" w:hAnsi="Tahoma" w:cs="Tahoma"/>
      <w:sz w:val="16"/>
      <w:szCs w:val="16"/>
      <w:lang w:val="es-MX"/>
    </w:rPr>
  </w:style>
  <w:style w:type="paragraph" w:styleId="Prrafodelista">
    <w:name w:val="List Paragraph"/>
    <w:basedOn w:val="Normal"/>
    <w:uiPriority w:val="34"/>
    <w:qFormat/>
    <w:rsid w:val="00054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MarcadorDePosición1</b:Tag>
    <b:SourceType>Book</b:SourceType>
    <b:Guid>{02DBB50B-CADA-464F-867B-C252BDDE3B80}</b:Guid>
    <b:Title>Fundamentos de base de datos</b:Title>
    <b:Year>2002</b:Year>
    <b:Publisher>McGrawl Hill</b:Publisher>
    <b:Author>
      <b:Author>
        <b:NameList>
          <b:Person>
            <b:Last>Abraham Silberschatz</b:Last>
            <b:First>Henry</b:First>
            <b:Middle>F. Korth,</b:Middle>
          </b:Person>
        </b:NameList>
      </b:Author>
    </b:Author>
    <b:RefOrder>1</b:RefOrder>
  </b:Source>
  <b:Source>
    <b:Tag>Abr02</b:Tag>
    <b:SourceType>Book</b:SourceType>
    <b:Guid>{02DBB50B-CADA-464F-867B-C252BDDE3B80}</b:Guid>
    <b:Title>Fundamentos de base de datos</b:Title>
    <b:Year>2002</b:Year>
    <b:Publisher>McGrawl Hill</b:Publisher>
    <b:Author>
      <b:Author>
        <b:NameList>
          <b:Person>
            <b:Last>Abraham Silberschatz</b:Last>
            <b:First>Henry</b:First>
            <b:Middle>F. Korth,</b:Middle>
          </b:Person>
        </b:NameList>
      </b:Author>
    </b:Author>
    <b:RefOrder>3</b:RefOrder>
  </b:Source>
  <b:Source>
    <b:Tag>Sán04</b:Tag>
    <b:SourceType>Book</b:SourceType>
    <b:Guid>{5C993F50-C99D-4DDB-95AB-B25B523A0CA3}</b:Guid>
    <b:Author>
      <b:Author>
        <b:NameList>
          <b:Person>
            <b:Last>Sánchez</b:Last>
            <b:First>Jorge</b:First>
          </b:Person>
        </b:NameList>
      </b:Author>
    </b:Author>
    <b:Title>Diseño conceptual de base de datos</b:Title>
    <b:Year>2004</b:Year>
    <b:Publisher>Creative Commons</b:Publisher>
    <b:BookTitle>diseño conceptual de bases de datos</b:BookTitle>
    <b:RefOrder>4</b:RefOrder>
  </b:Source>
  <b:Source>
    <b:Tag>Est12</b:Tag>
    <b:SourceType>Book</b:SourceType>
    <b:Guid>{6F807C6C-B317-4913-A957-8FD146B9003F}</b:Guid>
    <b:Author>
      <b:Author>
        <b:NameList>
          <b:Person>
            <b:Last>Ramírez</b:Last>
            <b:First>Esteban</b:First>
            <b:Middle>Valdez</b:Middle>
          </b:Person>
        </b:NameList>
      </b:Author>
    </b:Author>
    <b:Title>Fundamentos y conceptos de b.d. (A)</b:Title>
    <b:Year>2012</b:Year>
    <b:City>Lázaro Cárdenas</b:City>
    <b:Publisher>ITLAC</b:Publisher>
    <b:RefOrder>3</b:RefOrder>
  </b:Source>
  <b:Source>
    <b:Tag>Est121</b:Tag>
    <b:SourceType>Book</b:SourceType>
    <b:Guid>{CEA48EB2-D0FE-4CB2-897F-83F43D0ADF80}</b:Guid>
    <b:Author>
      <b:Author>
        <b:NameList>
          <b:Person>
            <b:Last>Ramírez</b:Last>
            <b:First>Esteban</b:First>
            <b:Middle>Valdez</b:Middle>
          </b:Person>
        </b:NameList>
      </b:Author>
    </b:Author>
    <b:Title>Conceptos y fundamentos de b.d. (B)</b:Title>
    <b:Year>2012</b:Year>
    <b:City>Lázaro Cárdenas</b:City>
    <b:Publisher>ITLAC</b:Publisher>
    <b:RefOrder>4</b:RefOrder>
  </b:Source>
</b:Sources>
</file>

<file path=customXml/itemProps1.xml><?xml version="1.0" encoding="utf-8"?>
<ds:datastoreItem xmlns:ds="http://schemas.openxmlformats.org/officeDocument/2006/customXml" ds:itemID="{E502F836-AE51-40FC-98D3-2773FDD4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1039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2015-02-18T05:26:00Z</dcterms:created>
  <dcterms:modified xsi:type="dcterms:W3CDTF">2015-02-18T05:26:00Z</dcterms:modified>
</cp:coreProperties>
</file>