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FreeSerifBold"/>
          <w:b/>
          <w:bCs/>
          <w:i/>
          <w:color w:val="000000"/>
          <w:sz w:val="52"/>
          <w:szCs w:val="52"/>
        </w:rPr>
      </w:pPr>
      <w:r w:rsidRPr="00DB6FF8">
        <w:rPr>
          <w:rFonts w:ascii="Berlin Sans FB" w:hAnsi="Berlin Sans FB" w:cs="FreeSerifBold"/>
          <w:b/>
          <w:bCs/>
          <w:color w:val="000000"/>
          <w:sz w:val="52"/>
          <w:szCs w:val="52"/>
        </w:rPr>
        <w:t xml:space="preserve"> </w:t>
      </w:r>
      <w:r w:rsidRPr="00DB6FF8">
        <w:rPr>
          <w:rFonts w:ascii="Berlin Sans FB" w:hAnsi="Berlin Sans FB" w:cs="FreeSerifBold"/>
          <w:b/>
          <w:bCs/>
          <w:i/>
          <w:color w:val="31849B" w:themeColor="accent5" w:themeShade="BF"/>
          <w:sz w:val="52"/>
          <w:szCs w:val="52"/>
        </w:rPr>
        <w:t>Prevención de los embarazos en Adolescentes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FreeSerifBold"/>
          <w:b/>
          <w:bCs/>
          <w:color w:val="000000"/>
          <w:sz w:val="52"/>
          <w:szCs w:val="52"/>
        </w:rPr>
      </w:pP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La OMS y la mayoría de profesionales de la </w:t>
      </w:r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 xml:space="preserve">educación </w:t>
      </w: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y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proofErr w:type="gramStart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la</w:t>
      </w:r>
      <w:proofErr w:type="gramEnd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 </w:t>
      </w:r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 xml:space="preserve">salud </w:t>
      </w: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señalan que para reducir el número de embarazos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450000"/>
          <w:sz w:val="24"/>
          <w:szCs w:val="24"/>
        </w:rPr>
      </w:pPr>
      <w:proofErr w:type="gramStart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en</w:t>
      </w:r>
      <w:proofErr w:type="gramEnd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 adolescentes es necesaria una completa </w:t>
      </w:r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>educación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proofErr w:type="gramStart"/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>sexual</w:t>
      </w:r>
      <w:proofErr w:type="gramEnd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, el acceso a los </w:t>
      </w:r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 xml:space="preserve">métodos anticonceptivos </w:t>
      </w: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(tanto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proofErr w:type="spellStart"/>
      <w:proofErr w:type="gramStart"/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>precoitales</w:t>
      </w:r>
      <w:proofErr w:type="spellEnd"/>
      <w:proofErr w:type="gramEnd"/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 xml:space="preserve">, coitales </w:t>
      </w: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como </w:t>
      </w:r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>postcoitales</w:t>
      </w: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) así como a los servicios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45"/>
          <w:sz w:val="24"/>
          <w:szCs w:val="24"/>
        </w:rPr>
      </w:pP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de </w:t>
      </w:r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>planificación familiar</w:t>
      </w:r>
      <w:r>
        <w:rPr>
          <w:rFonts w:ascii="FreeSerif-Identity-H" w:hAnsi="FreeSerif-Identity-H" w:cs="FreeSerif-Identity-H"/>
          <w:color w:val="000045"/>
          <w:sz w:val="24"/>
          <w:szCs w:val="24"/>
        </w:rPr>
        <w:t>.</w:t>
      </w:r>
      <w:bookmarkStart w:id="0" w:name="_GoBack"/>
      <w:bookmarkEnd w:id="0"/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También es necesaria la información y el apoyo por parte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proofErr w:type="gramStart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de</w:t>
      </w:r>
      <w:proofErr w:type="gramEnd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 los padres de los </w:t>
      </w:r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 xml:space="preserve">adolescentes </w:t>
      </w: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en cuestiones relativas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proofErr w:type="gramStart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al</w:t>
      </w:r>
      <w:proofErr w:type="gramEnd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 </w:t>
      </w:r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>sexo</w:t>
      </w: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, </w:t>
      </w:r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 xml:space="preserve">relaciones </w:t>
      </w: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y </w:t>
      </w:r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>métodos anticonceptivos</w:t>
      </w: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.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Los sistemas de prevención de embarazo en la adolescencia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proofErr w:type="gramStart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vigentes</w:t>
      </w:r>
      <w:proofErr w:type="gramEnd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 en </w:t>
      </w:r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 xml:space="preserve">Holanda </w:t>
      </w: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han servido de modelo para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proofErr w:type="gramStart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muchos</w:t>
      </w:r>
      <w:proofErr w:type="gramEnd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 países europeos y lo son para otros muchos. En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proofErr w:type="gramStart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los</w:t>
      </w:r>
      <w:proofErr w:type="gramEnd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 estudios obligatorios y especificados en los programas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proofErr w:type="gramStart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y</w:t>
      </w:r>
      <w:proofErr w:type="gramEnd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 planes de estudios se incluyen valores, actitudes, habilidades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proofErr w:type="gramStart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de</w:t>
      </w:r>
      <w:proofErr w:type="gramEnd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 comunicación y negociación, así como los aspectos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450000"/>
          <w:sz w:val="24"/>
          <w:szCs w:val="24"/>
        </w:rPr>
      </w:pPr>
      <w:proofErr w:type="gramStart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biológicos</w:t>
      </w:r>
      <w:proofErr w:type="gramEnd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 de la </w:t>
      </w:r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>reproducción</w:t>
      </w: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. Los </w:t>
      </w:r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>medios de comunicación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proofErr w:type="gramStart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han</w:t>
      </w:r>
      <w:proofErr w:type="gramEnd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 alentado el diálogo abierto y claro sobre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proofErr w:type="gramStart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las</w:t>
      </w:r>
      <w:proofErr w:type="gramEnd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 relaciones sexuales y el </w:t>
      </w:r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 xml:space="preserve">sistema de salud </w:t>
      </w: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garantiza el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proofErr w:type="gramStart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acceso</w:t>
      </w:r>
      <w:proofErr w:type="gramEnd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 a los métodos anticonceptivos así como la absoluta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confidencialidad</w:t>
      </w:r>
      <w:proofErr w:type="gramStart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.</w:t>
      </w:r>
      <w:r w:rsidRPr="00DB6FF8">
        <w:rPr>
          <w:rFonts w:ascii="FreeSerif-Identity-H" w:hAnsi="FreeSerif-Identity-H" w:cs="FreeSerif-Identity-H"/>
          <w:color w:val="000045"/>
          <w:sz w:val="24"/>
          <w:szCs w:val="24"/>
        </w:rPr>
        <w:t>[</w:t>
      </w:r>
      <w:proofErr w:type="gramEnd"/>
      <w:r w:rsidRPr="00DB6FF8">
        <w:rPr>
          <w:rFonts w:ascii="FreeSerif-Identity-H" w:hAnsi="FreeSerif-Identity-H" w:cs="FreeSerif-Identity-H"/>
          <w:color w:val="000045"/>
          <w:sz w:val="24"/>
          <w:szCs w:val="24"/>
        </w:rPr>
        <w:t xml:space="preserve">80] </w:t>
      </w: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En </w:t>
      </w:r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>España</w:t>
      </w: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, el Grupo </w:t>
      </w:r>
      <w:proofErr w:type="spellStart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PrevInfad</w:t>
      </w:r>
      <w:proofErr w:type="spellEnd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 ha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proofErr w:type="gramStart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hecho</w:t>
      </w:r>
      <w:proofErr w:type="gramEnd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 recomendaciones de manejo del problema y ayuda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proofErr w:type="gramStart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a</w:t>
      </w:r>
      <w:proofErr w:type="gramEnd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 adolescentes basadas en la identificación de actitudes,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proofErr w:type="gramStart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conocimientos</w:t>
      </w:r>
      <w:proofErr w:type="gramEnd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 y habilidades, y en el consejo, con el foco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proofErr w:type="gramStart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de</w:t>
      </w:r>
      <w:proofErr w:type="gramEnd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 interés en la prevención del embarazo no deseado y las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45"/>
          <w:sz w:val="24"/>
          <w:szCs w:val="24"/>
        </w:rPr>
      </w:pPr>
      <w:proofErr w:type="gramStart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infecciones</w:t>
      </w:r>
      <w:proofErr w:type="gramEnd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 de transmisión sexual.</w:t>
      </w:r>
      <w:r w:rsidRPr="00DB6FF8">
        <w:rPr>
          <w:rFonts w:ascii="FreeSerif-Identity-H" w:hAnsi="FreeSerif-Identity-H" w:cs="FreeSerif-Identity-H"/>
          <w:color w:val="000045"/>
          <w:sz w:val="24"/>
          <w:szCs w:val="24"/>
        </w:rPr>
        <w:t>[81]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En los </w:t>
      </w:r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>países denominados en desarrollo</w:t>
      </w: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, los programas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proofErr w:type="gramStart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de</w:t>
      </w:r>
      <w:proofErr w:type="gramEnd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 </w:t>
      </w:r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 xml:space="preserve">salud sexual </w:t>
      </w: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comienzan a implantarse. Algunos países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proofErr w:type="gramStart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como</w:t>
      </w:r>
      <w:proofErr w:type="gramEnd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 </w:t>
      </w:r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 xml:space="preserve">Indonesia </w:t>
      </w: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y </w:t>
      </w:r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 xml:space="preserve">Sri Lanka </w:t>
      </w: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han aprobados un marco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proofErr w:type="gramStart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normativo</w:t>
      </w:r>
      <w:proofErr w:type="gramEnd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 sistemático para la </w:t>
      </w:r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 xml:space="preserve">educación sexual </w:t>
      </w: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en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450000"/>
          <w:sz w:val="24"/>
          <w:szCs w:val="24"/>
        </w:rPr>
      </w:pPr>
      <w:proofErr w:type="gramStart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las</w:t>
      </w:r>
      <w:proofErr w:type="gramEnd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 escuelas. Muchas </w:t>
      </w:r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>organizaciones no gubernamentales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450000"/>
          <w:sz w:val="24"/>
          <w:szCs w:val="24"/>
        </w:rPr>
      </w:pPr>
      <w:proofErr w:type="gramStart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como</w:t>
      </w:r>
      <w:proofErr w:type="gramEnd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 la </w:t>
      </w:r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>International Planned Parenthood Federation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(</w:t>
      </w:r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>Federación Internacional de Planificación Familiar</w:t>
      </w: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)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proofErr w:type="gramStart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prestan</w:t>
      </w:r>
      <w:proofErr w:type="gramEnd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 asesoramiento sobre </w:t>
      </w:r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 xml:space="preserve">métodos anticonceptivos </w:t>
      </w: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para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proofErr w:type="gramStart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las</w:t>
      </w:r>
      <w:proofErr w:type="gramEnd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 mujeres jóvenes en todo el mundo. Las leyes contra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proofErr w:type="gramStart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el</w:t>
      </w:r>
      <w:proofErr w:type="gramEnd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 </w:t>
      </w:r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 xml:space="preserve">matrimonio de niños </w:t>
      </w: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han reducido pero no eliminado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proofErr w:type="gramStart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estas</w:t>
      </w:r>
      <w:proofErr w:type="gramEnd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 prácticas. La mejora social de la mujer, mediante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proofErr w:type="gramStart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la</w:t>
      </w:r>
      <w:proofErr w:type="gramEnd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 </w:t>
      </w:r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>alfabetización</w:t>
      </w: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, la educación y la protección legal de sus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proofErr w:type="gramStart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derechos</w:t>
      </w:r>
      <w:proofErr w:type="gramEnd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 en igualdad al hombre han dado lugar a un aumento</w:t>
      </w:r>
    </w:p>
    <w:p w:rsidR="00DB6FF8" w:rsidRPr="00DB6FF8" w:rsidRDefault="00DB6FF8" w:rsidP="00DB6FF8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4"/>
          <w:szCs w:val="24"/>
        </w:rPr>
      </w:pPr>
      <w:proofErr w:type="gramStart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en</w:t>
      </w:r>
      <w:proofErr w:type="gramEnd"/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 la edad del primer parto en áreas como la </w:t>
      </w:r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>Irán</w:t>
      </w: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,</w:t>
      </w:r>
    </w:p>
    <w:p w:rsidR="0001043A" w:rsidRPr="00DB6FF8" w:rsidRDefault="00DB6FF8" w:rsidP="00DB6FF8">
      <w:pPr>
        <w:rPr>
          <w:sz w:val="24"/>
          <w:szCs w:val="24"/>
        </w:rPr>
      </w:pPr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>Indonesia</w:t>
      </w: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, y el estado </w:t>
      </w:r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 xml:space="preserve">indio </w:t>
      </w: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 xml:space="preserve">de </w:t>
      </w:r>
      <w:r w:rsidRPr="00DB6FF8">
        <w:rPr>
          <w:rFonts w:ascii="FreeSerif-Identity-H" w:hAnsi="FreeSerif-Identity-H" w:cs="FreeSerif-Identity-H"/>
          <w:color w:val="450000"/>
          <w:sz w:val="24"/>
          <w:szCs w:val="24"/>
        </w:rPr>
        <w:t>Kerala</w:t>
      </w:r>
      <w:r w:rsidRPr="00DB6FF8">
        <w:rPr>
          <w:rFonts w:ascii="FreeSerif-Identity-H" w:hAnsi="FreeSerif-Identity-H" w:cs="FreeSerif-Identity-H"/>
          <w:color w:val="000000"/>
          <w:sz w:val="24"/>
          <w:szCs w:val="24"/>
        </w:rPr>
        <w:t>.</w:t>
      </w:r>
    </w:p>
    <w:sectPr w:rsidR="0001043A" w:rsidRPr="00DB6FF8" w:rsidSect="00DB6FF8">
      <w:pgSz w:w="12240" w:h="15840"/>
      <w:pgMar w:top="1417" w:right="1701" w:bottom="1417" w:left="1701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eeSerif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erif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F8"/>
    <w:rsid w:val="0001043A"/>
    <w:rsid w:val="00D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MANZANO 10</dc:creator>
  <cp:lastModifiedBy>EL MANZANO 10</cp:lastModifiedBy>
  <cp:revision>1</cp:revision>
  <dcterms:created xsi:type="dcterms:W3CDTF">2015-12-01T12:32:00Z</dcterms:created>
  <dcterms:modified xsi:type="dcterms:W3CDTF">2015-12-01T12:40:00Z</dcterms:modified>
</cp:coreProperties>
</file>