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BA" w:rsidRDefault="00B934BA" w:rsidP="00B934BA">
      <w:r>
        <w:t>2.1.4 Sinergia</w:t>
      </w:r>
    </w:p>
    <w:p w:rsidR="009831E9" w:rsidRDefault="00B934BA" w:rsidP="00B934BA">
      <w:r>
        <w:t>Todo sistema es sinérgico en tanto el examen de sus partes en forma aislada no pueda explicar o predecir su comportamiento. La sinergia es, en consecuencia, un fenómeno que surge de las interacciones entre las partes o componentes de un sistema (conglomerado). En términos menos esencialistas, podría señalarse que la sinergia es la propiedad común a todas aquellas cosas que observamos como sistemas. (UTP, pág. 25)</w:t>
      </w:r>
      <w:bookmarkStart w:id="0" w:name="_GoBack"/>
      <w:bookmarkEnd w:id="0"/>
    </w:p>
    <w:sectPr w:rsidR="009831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BA"/>
    <w:rsid w:val="005F5520"/>
    <w:rsid w:val="00AE1B9F"/>
    <w:rsid w:val="00B9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</cp:revision>
  <dcterms:created xsi:type="dcterms:W3CDTF">2016-03-18T00:52:00Z</dcterms:created>
  <dcterms:modified xsi:type="dcterms:W3CDTF">2016-03-18T00:53:00Z</dcterms:modified>
</cp:coreProperties>
</file>