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01A" w:rsidRDefault="005E001A" w:rsidP="005E001A">
      <w:r>
        <w:t xml:space="preserve">2.2.4 </w:t>
      </w:r>
      <w:bookmarkStart w:id="0" w:name="_GoBack"/>
      <w:proofErr w:type="spellStart"/>
      <w:r>
        <w:t>Hetero</w:t>
      </w:r>
      <w:proofErr w:type="spellEnd"/>
      <w:r>
        <w:t>-Sistema</w:t>
      </w:r>
      <w:bookmarkEnd w:id="0"/>
    </w:p>
    <w:p w:rsidR="005E001A" w:rsidRDefault="005E001A" w:rsidP="005E001A">
      <w:r>
        <w:t>El interés teórico de este campo se encuentra en el hecho de que aquellas entidades cuyos componentes son heterogéneos (hombres, maquinas, edificios, dinero, y otros objetos flujos de materias primas, flujos de producción, etc.) pueden ser analizados como sistemas o se les puede aplicar el análisis de sistemas. (</w:t>
      </w:r>
      <w:proofErr w:type="spellStart"/>
      <w:r>
        <w:t>Johansen</w:t>
      </w:r>
      <w:proofErr w:type="spellEnd"/>
      <w:r>
        <w:t xml:space="preserve"> B., 1993, pág. 32)</w:t>
      </w:r>
    </w:p>
    <w:p w:rsidR="009831E9" w:rsidRDefault="005E001A"/>
    <w:sectPr w:rsidR="009831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01A"/>
    <w:rsid w:val="005E001A"/>
    <w:rsid w:val="005F5520"/>
    <w:rsid w:val="00AE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1</cp:revision>
  <dcterms:created xsi:type="dcterms:W3CDTF">2016-03-18T00:58:00Z</dcterms:created>
  <dcterms:modified xsi:type="dcterms:W3CDTF">2016-03-18T00:59:00Z</dcterms:modified>
</cp:coreProperties>
</file>