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56" w:rsidRPr="00BD4956" w:rsidRDefault="00BD4956" w:rsidP="00BD4956">
      <w:pPr>
        <w:jc w:val="both"/>
        <w:rPr>
          <w:rFonts w:ascii="Arial" w:hAnsi="Arial" w:cs="Arial"/>
          <w:b/>
          <w:sz w:val="24"/>
        </w:rPr>
      </w:pPr>
      <w:r w:rsidRPr="00BD4956">
        <w:rPr>
          <w:rFonts w:ascii="Arial" w:hAnsi="Arial" w:cs="Arial"/>
          <w:b/>
          <w:sz w:val="24"/>
        </w:rPr>
        <w:t>Modelo de datos de objetos</w:t>
      </w:r>
    </w:p>
    <w:p w:rsidR="00BD4956" w:rsidRDefault="00BD4956" w:rsidP="00BD4956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BC2EBA">
        <w:rPr>
          <w:rFonts w:ascii="Arial" w:hAnsi="Arial" w:cs="Arial"/>
          <w:sz w:val="24"/>
        </w:rPr>
        <w:t>efine una base de datos en términos de objetos, sus propiedades y sus operaciones.</w:t>
      </w:r>
      <w:r>
        <w:rPr>
          <w:rFonts w:ascii="Arial" w:hAnsi="Arial" w:cs="Arial"/>
          <w:sz w:val="24"/>
        </w:rPr>
        <w:t xml:space="preserve"> </w:t>
      </w:r>
      <w:r w:rsidRPr="00BC2EBA">
        <w:rPr>
          <w:rFonts w:ascii="Arial" w:hAnsi="Arial" w:cs="Arial"/>
          <w:sz w:val="24"/>
        </w:rPr>
        <w:t>Los objetos con la misma estructura y comportamiento pertenecen a una clase, y las clases están organizadas</w:t>
      </w:r>
      <w:r>
        <w:rPr>
          <w:rFonts w:ascii="Arial" w:hAnsi="Arial" w:cs="Arial"/>
          <w:sz w:val="24"/>
        </w:rPr>
        <w:t xml:space="preserve"> </w:t>
      </w:r>
      <w:r w:rsidRPr="00BC2EBA">
        <w:rPr>
          <w:rFonts w:ascii="Arial" w:hAnsi="Arial" w:cs="Arial"/>
          <w:sz w:val="24"/>
        </w:rPr>
        <w:t>en jerarquías (o gráficos acíclicos). Las operaciones de cada clase son específicas en términos de</w:t>
      </w:r>
      <w:r>
        <w:rPr>
          <w:rFonts w:ascii="Arial" w:hAnsi="Arial" w:cs="Arial"/>
          <w:sz w:val="24"/>
        </w:rPr>
        <w:t xml:space="preserve"> </w:t>
      </w:r>
      <w:r w:rsidRPr="00BC2EBA">
        <w:rPr>
          <w:rFonts w:ascii="Arial" w:hAnsi="Arial" w:cs="Arial"/>
          <w:sz w:val="24"/>
        </w:rPr>
        <w:t>procedimientos predefinidos denominados métodos.</w:t>
      </w:r>
      <w:sdt>
        <w:sdtPr>
          <w:rPr>
            <w:rFonts w:ascii="Arial" w:hAnsi="Arial" w:cs="Arial"/>
            <w:sz w:val="24"/>
          </w:rPr>
          <w:id w:val="-558790768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Elm07 \p 45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BC2EBA">
            <w:rPr>
              <w:rFonts w:ascii="Arial" w:hAnsi="Arial" w:cs="Arial"/>
              <w:noProof/>
              <w:sz w:val="24"/>
            </w:rPr>
            <w:t>(Elmasri, R. &amp; Navathe, S., 2007, pág. 45)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BD4956" w:rsidRDefault="00BD4956">
      <w:bookmarkStart w:id="0" w:name="_GoBack"/>
      <w:bookmarkEnd w:id="0"/>
    </w:p>
    <w:sectPr w:rsidR="00BD4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56"/>
    <w:rsid w:val="00B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4BB5B-BE7A-4311-969D-16C13CC9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{9AAA94DD-8D03-44B8-B737-C074CEA5F08C}</b:Guid>
    <b:Author>
      <b:Author>
        <b:NameList>
          <b:Person>
            <b:Last>Elmasri, R. </b:Last>
          </b:Person>
          <b:Person>
            <b:Last>Navathe, S.</b:Last>
          </b:Person>
        </b:NameList>
      </b:Author>
    </b:Author>
    <b:Title>Fundamentos de Sistemas de Bases de Datos</b:Title>
    <b:Year>2007</b:Year>
    <b:City>Madrid</b:City>
    <b:Publisher>ADDlSON WESLEY</b:Publisher>
    <b:RefOrder>2</b:RefOrder>
  </b:Source>
</b:Sources>
</file>

<file path=customXml/itemProps1.xml><?xml version="1.0" encoding="utf-8"?>
<ds:datastoreItem xmlns:ds="http://schemas.openxmlformats.org/officeDocument/2006/customXml" ds:itemID="{195123E8-08D8-4ABA-B579-6F08A81A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1</cp:revision>
  <dcterms:created xsi:type="dcterms:W3CDTF">2018-02-13T03:16:00Z</dcterms:created>
  <dcterms:modified xsi:type="dcterms:W3CDTF">2018-02-13T03:16:00Z</dcterms:modified>
</cp:coreProperties>
</file>