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B" w:rsidRPr="00C81760" w:rsidRDefault="0082506B" w:rsidP="00825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T</w:t>
      </w:r>
      <w:r w:rsidR="00C81760" w:rsidRPr="00C81760">
        <w:rPr>
          <w:rFonts w:ascii="Times New Roman" w:hAnsi="Times New Roman" w:cs="Times New Roman"/>
          <w:sz w:val="24"/>
          <w:szCs w:val="24"/>
        </w:rPr>
        <w:t>ransacción</w:t>
      </w:r>
    </w:p>
    <w:p w:rsidR="002D2958" w:rsidRPr="00C81760" w:rsidRDefault="0082506B" w:rsidP="00C81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“Una transacción es una unidad de la ejecución de un programa que accede y posiblemente actualiza varios elementos de datos… La transacción consiste en todas las operaciones que se ejecutan ent</w:t>
      </w:r>
      <w:bookmarkStart w:id="0" w:name="_GoBack"/>
      <w:bookmarkEnd w:id="0"/>
      <w:r w:rsidRPr="00C81760">
        <w:rPr>
          <w:rFonts w:ascii="Times New Roman" w:hAnsi="Times New Roman" w:cs="Times New Roman"/>
          <w:sz w:val="24"/>
          <w:szCs w:val="24"/>
        </w:rPr>
        <w:t xml:space="preserve">re inicio transacción y el fin transacción”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502200513"/>
          <w:citation/>
        </w:sdtPr>
        <w:sdtEndPr/>
        <w:sdtContent>
          <w:r w:rsidRPr="00C8176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00D4C" w:rsidRPr="00C81760">
            <w:rPr>
              <w:rFonts w:ascii="Times New Roman" w:hAnsi="Times New Roman" w:cs="Times New Roman"/>
              <w:sz w:val="24"/>
              <w:szCs w:val="24"/>
            </w:rPr>
            <w:instrText xml:space="preserve">CITATION Sil02 \p 378 \l 2058 </w:instrText>
          </w:r>
          <w:r w:rsidRPr="00C8176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0D4C" w:rsidRPr="00C81760">
            <w:rPr>
              <w:rFonts w:ascii="Times New Roman" w:hAnsi="Times New Roman" w:cs="Times New Roman"/>
              <w:noProof/>
              <w:sz w:val="24"/>
              <w:szCs w:val="24"/>
            </w:rPr>
            <w:t>(Silberschatz &amp; Korth, 2002, pág. 378)</w:t>
          </w:r>
          <w:r w:rsidRPr="00C8176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C81760">
        <w:rPr>
          <w:rFonts w:ascii="Times New Roman" w:hAnsi="Times New Roman" w:cs="Times New Roman"/>
          <w:sz w:val="24"/>
          <w:szCs w:val="24"/>
        </w:rPr>
        <w:t>.</w:t>
      </w:r>
    </w:p>
    <w:sectPr w:rsidR="002D2958" w:rsidRPr="00C81760" w:rsidSect="00C8176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6B"/>
    <w:rsid w:val="002D2958"/>
    <w:rsid w:val="00300D4C"/>
    <w:rsid w:val="0082506B"/>
    <w:rsid w:val="00C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6A18"/>
  <w15:chartTrackingRefBased/>
  <w15:docId w15:val="{227754B8-FE53-4BCA-B6E0-F741872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{5B86DD94-748B-48BE-A3AC-5445022A638C}</b:Guid>
    <b:Title>FUNDAMENTOS DE BASES DE DATOS</b:Title>
    <b:Year>2002</b:Year>
    <b:Publisher>McGraw-Hill Inc.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99248C8-F669-482A-880E-DD8FC01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4</cp:revision>
  <dcterms:created xsi:type="dcterms:W3CDTF">2018-02-13T10:07:00Z</dcterms:created>
  <dcterms:modified xsi:type="dcterms:W3CDTF">2018-02-13T19:33:00Z</dcterms:modified>
</cp:coreProperties>
</file>