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B68" w:rsidRDefault="00D616EA" w:rsidP="00B12B68">
      <w:pPr>
        <w:spacing w:after="0"/>
        <w:jc w:val="center"/>
        <w:rPr>
          <w:rFonts w:cs="Times New Roman"/>
          <w:b/>
          <w:szCs w:val="24"/>
        </w:rPr>
      </w:pPr>
      <w:r w:rsidRPr="001B42B3">
        <w:rPr>
          <w:rFonts w:cs="Times New Roman"/>
          <w:b/>
          <w:szCs w:val="24"/>
        </w:rPr>
        <w:t>Evaluación de la cartera de crédito de las entidades del sector financiero popular y solidario a través de la estimación de pérdidas esperadas</w:t>
      </w:r>
    </w:p>
    <w:p w:rsidR="00D616EA" w:rsidRDefault="00D616EA" w:rsidP="00B12B68">
      <w:pPr>
        <w:jc w:val="center"/>
        <w:rPr>
          <w:rFonts w:cs="Times New Roman"/>
          <w:b/>
          <w:szCs w:val="24"/>
        </w:rPr>
      </w:pPr>
      <w:r w:rsidRPr="001B42B3">
        <w:rPr>
          <w:rFonts w:cs="Times New Roman"/>
          <w:b/>
          <w:szCs w:val="24"/>
        </w:rPr>
        <w:t>(Caso de estudio: Segmento 1)</w:t>
      </w:r>
    </w:p>
    <w:p w:rsidR="00B12B68" w:rsidRPr="001B42B3" w:rsidRDefault="00B12B68" w:rsidP="00B12B68">
      <w:pPr>
        <w:spacing w:after="0"/>
        <w:jc w:val="center"/>
        <w:rPr>
          <w:rFonts w:cs="Times New Roman"/>
          <w:b/>
          <w:szCs w:val="24"/>
        </w:rPr>
      </w:pPr>
    </w:p>
    <w:p w:rsidR="00D00357" w:rsidRPr="001B42B3" w:rsidRDefault="00D00357" w:rsidP="001B42B3">
      <w:pPr>
        <w:pStyle w:val="Prrafodelista"/>
        <w:numPr>
          <w:ilvl w:val="0"/>
          <w:numId w:val="12"/>
        </w:numPr>
        <w:rPr>
          <w:rFonts w:cs="Times New Roman"/>
          <w:b/>
          <w:szCs w:val="24"/>
        </w:rPr>
      </w:pPr>
      <w:r w:rsidRPr="001B42B3">
        <w:rPr>
          <w:rFonts w:cs="Times New Roman"/>
          <w:b/>
          <w:szCs w:val="24"/>
        </w:rPr>
        <w:t>Breve descripción del tema</w:t>
      </w:r>
    </w:p>
    <w:p w:rsidR="00D616EA" w:rsidRPr="001B42B3" w:rsidRDefault="00D616EA" w:rsidP="001B42B3">
      <w:pPr>
        <w:ind w:firstLine="708"/>
        <w:rPr>
          <w:rFonts w:cs="Times New Roman"/>
          <w:szCs w:val="24"/>
        </w:rPr>
      </w:pPr>
      <w:r w:rsidRPr="001B42B3">
        <w:rPr>
          <w:rFonts w:cs="Times New Roman"/>
          <w:szCs w:val="24"/>
        </w:rPr>
        <w:t>En la resolución No. 130-2015-F emitida por la Junta de Regulación y Política Monetaria y Financiera, se definió los parámetros para la constitución de provisiones para las entidades del sector financiero popular y solidario (SFPS), que en teoría, deben generar una cobertura adecuada sobre las pérdidas esperadas que pueden derivarse de la gestión y maduración de la cartera de crédito; no obstante, es importante evaluar si en efecto esas provisiones cubren al menos las pérdidas esperadas, cuál es la capacidad patrimonial de las entidades para cubrir pérdidas inesperadas y cuál es la posibilidad de materialización de problemas estructurales patrimoniales que pueden traer consigo la realización de un riesgo sistémico que puede afectar al sistema financiero nacional.</w:t>
      </w:r>
    </w:p>
    <w:p w:rsidR="00D616EA" w:rsidRPr="001B42B3" w:rsidRDefault="00D616EA" w:rsidP="001B42B3">
      <w:pPr>
        <w:ind w:firstLine="708"/>
        <w:rPr>
          <w:rFonts w:cs="Times New Roman"/>
          <w:szCs w:val="24"/>
          <w:highlight w:val="cyan"/>
        </w:rPr>
      </w:pPr>
      <w:r w:rsidRPr="001B42B3">
        <w:rPr>
          <w:rFonts w:cs="Times New Roman"/>
          <w:szCs w:val="24"/>
        </w:rPr>
        <w:t>En este sentido, la evaluación de la cartera de crédito, principal activo de las entidades del SFPS, a través de la estimación de pérdidas esperadas permitirá identificar el nivel de cobertura de las provisiones, la capacidad de las entidades para cubrir pérdidas inesperadas y evaluar la posibilidad de modificar la resolución No. 130-2015-F.</w:t>
      </w:r>
    </w:p>
    <w:p w:rsidR="00D616EA" w:rsidRPr="001B42B3" w:rsidRDefault="00D616EA" w:rsidP="001B42B3">
      <w:pPr>
        <w:rPr>
          <w:rFonts w:cs="Times New Roman"/>
          <w:szCs w:val="24"/>
        </w:rPr>
      </w:pPr>
    </w:p>
    <w:p w:rsidR="0042187A" w:rsidRPr="001B42B3" w:rsidRDefault="006107D5" w:rsidP="001B42B3">
      <w:pPr>
        <w:rPr>
          <w:rFonts w:cs="Times New Roman"/>
          <w:b/>
          <w:szCs w:val="24"/>
        </w:rPr>
      </w:pPr>
      <w:r w:rsidRPr="001B42B3">
        <w:rPr>
          <w:rFonts w:cs="Times New Roman"/>
          <w:b/>
          <w:szCs w:val="24"/>
        </w:rPr>
        <w:t>2.1</w:t>
      </w:r>
      <w:r w:rsidR="0042187A" w:rsidRPr="001B42B3">
        <w:rPr>
          <w:rFonts w:cs="Times New Roman"/>
          <w:b/>
          <w:szCs w:val="24"/>
        </w:rPr>
        <w:t xml:space="preserve"> Breve descripción del tema o problema, requiere: 1) selección, 2) delimitación y 3) problematización. </w:t>
      </w:r>
    </w:p>
    <w:p w:rsidR="004E3E77" w:rsidRPr="001B42B3" w:rsidRDefault="004E3E77" w:rsidP="001B42B3">
      <w:pPr>
        <w:pStyle w:val="Prrafodelista"/>
        <w:numPr>
          <w:ilvl w:val="2"/>
          <w:numId w:val="12"/>
        </w:numPr>
        <w:tabs>
          <w:tab w:val="left" w:pos="1134"/>
        </w:tabs>
        <w:rPr>
          <w:rFonts w:cs="Times New Roman"/>
          <w:b/>
          <w:szCs w:val="24"/>
        </w:rPr>
      </w:pPr>
      <w:r w:rsidRPr="001B42B3">
        <w:rPr>
          <w:rFonts w:cs="Times New Roman"/>
          <w:b/>
          <w:szCs w:val="24"/>
        </w:rPr>
        <w:t>Selección del tema</w:t>
      </w:r>
    </w:p>
    <w:p w:rsidR="001B42B3" w:rsidRDefault="001B42B3" w:rsidP="001B42B3">
      <w:pPr>
        <w:tabs>
          <w:tab w:val="left" w:pos="1134"/>
        </w:tabs>
        <w:rPr>
          <w:rFonts w:cs="Times New Roman"/>
          <w:color w:val="000000" w:themeColor="text1"/>
          <w:szCs w:val="24"/>
        </w:rPr>
      </w:pPr>
      <w:r w:rsidRPr="001B42B3">
        <w:rPr>
          <w:rFonts w:cs="Times New Roman"/>
          <w:color w:val="000000" w:themeColor="text1"/>
          <w:szCs w:val="24"/>
        </w:rPr>
        <w:t>La metodología de pérdidas esperadas permite evaluar la calidad de la cartera de crédito, por lo que constituye una herramienta de análisis de la capacidad de las entidades del SFPS para cubrir las pérdidas esperadas e inesperadas; y con ello evaluar la posibilidad (o probabilidad) de materializarse un riesgo sistémico y su incidencia en el sistema financiero nacional.</w:t>
      </w:r>
    </w:p>
    <w:p w:rsidR="009112B4" w:rsidRPr="001B42B3" w:rsidRDefault="009112B4" w:rsidP="001B42B3">
      <w:pPr>
        <w:pStyle w:val="Prrafodelista"/>
        <w:numPr>
          <w:ilvl w:val="2"/>
          <w:numId w:val="12"/>
        </w:numPr>
        <w:tabs>
          <w:tab w:val="left" w:pos="1134"/>
        </w:tabs>
        <w:rPr>
          <w:rFonts w:cs="Times New Roman"/>
          <w:b/>
          <w:szCs w:val="24"/>
        </w:rPr>
      </w:pPr>
      <w:r w:rsidRPr="001B42B3">
        <w:rPr>
          <w:rFonts w:cs="Times New Roman"/>
          <w:b/>
          <w:szCs w:val="24"/>
        </w:rPr>
        <w:lastRenderedPageBreak/>
        <w:t>Delimitación del tema</w:t>
      </w:r>
    </w:p>
    <w:p w:rsidR="009112B4" w:rsidRDefault="001B42B3" w:rsidP="001B42B3">
      <w:pPr>
        <w:ind w:firstLine="426"/>
        <w:rPr>
          <w:rFonts w:cs="Times New Roman"/>
          <w:szCs w:val="24"/>
          <w:highlight w:val="green"/>
        </w:rPr>
      </w:pPr>
      <w:r w:rsidRPr="001B42B3">
        <w:rPr>
          <w:rFonts w:cs="Times New Roman"/>
          <w:szCs w:val="24"/>
        </w:rPr>
        <w:t>Capacidad de las entidades del segmento 1 del SFPS para cubrir sus pérdidas esperadas e inesperadas de acuerdo a la información 2018</w:t>
      </w:r>
    </w:p>
    <w:p w:rsidR="001B42B3" w:rsidRPr="001B42B3" w:rsidRDefault="001B42B3" w:rsidP="00B12B68">
      <w:pPr>
        <w:spacing w:after="0"/>
        <w:ind w:firstLine="426"/>
        <w:rPr>
          <w:rFonts w:cs="Times New Roman"/>
          <w:szCs w:val="24"/>
          <w:highlight w:val="green"/>
        </w:rPr>
      </w:pPr>
    </w:p>
    <w:p w:rsidR="009112B4" w:rsidRPr="001B42B3" w:rsidRDefault="009112B4" w:rsidP="001B42B3">
      <w:pPr>
        <w:pStyle w:val="Prrafodelista"/>
        <w:numPr>
          <w:ilvl w:val="2"/>
          <w:numId w:val="12"/>
        </w:numPr>
        <w:tabs>
          <w:tab w:val="left" w:pos="1134"/>
        </w:tabs>
        <w:rPr>
          <w:rFonts w:cs="Times New Roman"/>
          <w:b/>
          <w:szCs w:val="24"/>
        </w:rPr>
      </w:pPr>
      <w:r w:rsidRPr="001B42B3">
        <w:rPr>
          <w:rFonts w:cs="Times New Roman"/>
          <w:b/>
          <w:szCs w:val="24"/>
        </w:rPr>
        <w:t>Problematización del tema</w:t>
      </w:r>
    </w:p>
    <w:p w:rsidR="001B42B3" w:rsidRDefault="001B42B3" w:rsidP="001B42B3">
      <w:pPr>
        <w:tabs>
          <w:tab w:val="left" w:pos="1134"/>
        </w:tabs>
        <w:contextualSpacing/>
        <w:rPr>
          <w:rFonts w:cs="Times New Roman"/>
          <w:szCs w:val="24"/>
        </w:rPr>
      </w:pPr>
      <w:r w:rsidRPr="001B42B3">
        <w:rPr>
          <w:rFonts w:cs="Times New Roman"/>
          <w:szCs w:val="24"/>
        </w:rPr>
        <w:t>¿Son suficientes y adecuadas las provisiones que mantienen las entidades del SFPS del segmento 1 para cubrir eventuales pérdidas esperadas e inesperadas derivas de la gestión de la cartera de crédito?</w:t>
      </w:r>
    </w:p>
    <w:p w:rsidR="001B42B3" w:rsidRPr="001B42B3" w:rsidRDefault="001B42B3" w:rsidP="001B42B3">
      <w:pPr>
        <w:tabs>
          <w:tab w:val="left" w:pos="1134"/>
        </w:tabs>
        <w:contextualSpacing/>
        <w:rPr>
          <w:rFonts w:cs="Times New Roman"/>
          <w:szCs w:val="24"/>
          <w:highlight w:val="cyan"/>
        </w:rPr>
      </w:pPr>
    </w:p>
    <w:p w:rsidR="00B374E4" w:rsidRDefault="00B374E4" w:rsidP="00B374E4">
      <w:pPr>
        <w:rPr>
          <w:iCs/>
        </w:rPr>
      </w:pPr>
      <w:r w:rsidRPr="008F087F">
        <w:rPr>
          <w:b/>
          <w:iCs/>
        </w:rPr>
        <w:t>Sujeto:</w:t>
      </w:r>
      <w:r>
        <w:rPr>
          <w:iCs/>
        </w:rPr>
        <w:t xml:space="preserve"> Riesgo de crédito – Pérdidas esperadas</w:t>
      </w:r>
    </w:p>
    <w:p w:rsidR="00B374E4" w:rsidRDefault="00B374E4" w:rsidP="00B374E4">
      <w:pPr>
        <w:rPr>
          <w:iCs/>
        </w:rPr>
      </w:pPr>
      <w:r w:rsidRPr="008F087F">
        <w:rPr>
          <w:b/>
          <w:iCs/>
        </w:rPr>
        <w:t>Objeto:</w:t>
      </w:r>
      <w:r>
        <w:rPr>
          <w:iCs/>
        </w:rPr>
        <w:t xml:space="preserve"> Evaluación de calidad de la cartera de crédito</w:t>
      </w:r>
    </w:p>
    <w:p w:rsidR="00B374E4" w:rsidRDefault="00B374E4" w:rsidP="00B374E4">
      <w:pPr>
        <w:rPr>
          <w:iCs/>
        </w:rPr>
      </w:pPr>
      <w:r w:rsidRPr="008F087F">
        <w:rPr>
          <w:b/>
          <w:iCs/>
        </w:rPr>
        <w:t>Tiempo:</w:t>
      </w:r>
      <w:r>
        <w:rPr>
          <w:iCs/>
        </w:rPr>
        <w:t xml:space="preserve"> Presente </w:t>
      </w:r>
    </w:p>
    <w:p w:rsidR="00B374E4" w:rsidRPr="009E3D27" w:rsidRDefault="00B374E4" w:rsidP="00B374E4">
      <w:r w:rsidRPr="008F087F">
        <w:rPr>
          <w:b/>
          <w:iCs/>
        </w:rPr>
        <w:t>Espacio:</w:t>
      </w:r>
      <w:r>
        <w:rPr>
          <w:iCs/>
        </w:rPr>
        <w:t xml:space="preserve"> Cooperativas de ahorro y crédito del segmento 1</w:t>
      </w:r>
    </w:p>
    <w:p w:rsidR="005C641F" w:rsidRPr="001B42B3" w:rsidRDefault="005C641F" w:rsidP="00B12B68">
      <w:pPr>
        <w:tabs>
          <w:tab w:val="left" w:pos="1134"/>
        </w:tabs>
        <w:spacing w:after="0"/>
        <w:contextualSpacing/>
        <w:rPr>
          <w:rFonts w:cs="Times New Roman"/>
          <w:szCs w:val="24"/>
          <w:highlight w:val="green"/>
        </w:rPr>
      </w:pPr>
    </w:p>
    <w:p w:rsidR="00E36D00" w:rsidRPr="006D0FEA" w:rsidRDefault="00E36D00" w:rsidP="001B42B3">
      <w:pPr>
        <w:pStyle w:val="Prrafodelista"/>
        <w:numPr>
          <w:ilvl w:val="2"/>
          <w:numId w:val="12"/>
        </w:numPr>
        <w:tabs>
          <w:tab w:val="left" w:pos="1134"/>
        </w:tabs>
        <w:rPr>
          <w:rFonts w:cs="Times New Roman"/>
          <w:b/>
          <w:szCs w:val="24"/>
        </w:rPr>
      </w:pPr>
      <w:r w:rsidRPr="006D0FEA">
        <w:rPr>
          <w:rFonts w:cs="Times New Roman"/>
          <w:b/>
          <w:szCs w:val="24"/>
        </w:rPr>
        <w:t>Objetivo</w:t>
      </w:r>
    </w:p>
    <w:p w:rsidR="006D0FEA" w:rsidRDefault="006D0FEA" w:rsidP="001B42B3">
      <w:pPr>
        <w:tabs>
          <w:tab w:val="left" w:pos="1134"/>
        </w:tabs>
        <w:rPr>
          <w:rFonts w:cs="Times New Roman"/>
          <w:szCs w:val="24"/>
        </w:rPr>
      </w:pPr>
      <w:r w:rsidRPr="006D0FEA">
        <w:rPr>
          <w:rFonts w:cs="Times New Roman"/>
          <w:szCs w:val="24"/>
        </w:rPr>
        <w:t>Determinar las pérdidas esperadas derivas de la gestión de la cartera de crédito de las entidades del segmento 1 del SFPS.</w:t>
      </w:r>
    </w:p>
    <w:p w:rsidR="005C641F" w:rsidRDefault="005C641F" w:rsidP="005C641F">
      <w:pPr>
        <w:tabs>
          <w:tab w:val="left" w:pos="1134"/>
        </w:tabs>
        <w:spacing w:after="0"/>
        <w:rPr>
          <w:rFonts w:cs="Times New Roman"/>
          <w:szCs w:val="24"/>
        </w:rPr>
      </w:pPr>
    </w:p>
    <w:p w:rsidR="00D93F85" w:rsidRPr="006D0FEA" w:rsidRDefault="00D93F85" w:rsidP="006D0FEA">
      <w:pPr>
        <w:pStyle w:val="Prrafodelista"/>
        <w:numPr>
          <w:ilvl w:val="2"/>
          <w:numId w:val="12"/>
        </w:numPr>
        <w:tabs>
          <w:tab w:val="left" w:pos="1134"/>
        </w:tabs>
        <w:rPr>
          <w:rFonts w:cs="Times New Roman"/>
          <w:b/>
          <w:szCs w:val="24"/>
        </w:rPr>
      </w:pPr>
      <w:r w:rsidRPr="006D0FEA">
        <w:rPr>
          <w:rFonts w:cs="Times New Roman"/>
          <w:b/>
          <w:szCs w:val="24"/>
        </w:rPr>
        <w:t>Objetivos específicos</w:t>
      </w:r>
    </w:p>
    <w:p w:rsidR="006D0FEA" w:rsidRPr="00EF07A8" w:rsidRDefault="006D0FEA" w:rsidP="006D0FEA">
      <w:pPr>
        <w:rPr>
          <w:szCs w:val="24"/>
        </w:rPr>
      </w:pPr>
      <w:r w:rsidRPr="00EF07A8">
        <w:rPr>
          <w:szCs w:val="24"/>
        </w:rPr>
        <w:t>A través de la evaluación de la cartera de crédito se busca realizar:</w:t>
      </w:r>
    </w:p>
    <w:p w:rsidR="006D0FEA" w:rsidRPr="00EF07A8" w:rsidRDefault="006D0FEA" w:rsidP="006D0FEA">
      <w:pPr>
        <w:pStyle w:val="Prrafodelista"/>
        <w:numPr>
          <w:ilvl w:val="0"/>
          <w:numId w:val="15"/>
        </w:numPr>
        <w:rPr>
          <w:szCs w:val="24"/>
        </w:rPr>
      </w:pPr>
      <w:r w:rsidRPr="00EF07A8">
        <w:rPr>
          <w:szCs w:val="24"/>
        </w:rPr>
        <w:t>Determinar las pérdidas esperadas de las entidades del segmento 1 del SFPS.</w:t>
      </w:r>
    </w:p>
    <w:p w:rsidR="006D0FEA" w:rsidRPr="00EF07A8" w:rsidRDefault="006D0FEA" w:rsidP="006D0FEA">
      <w:pPr>
        <w:pStyle w:val="Prrafodelista"/>
        <w:numPr>
          <w:ilvl w:val="0"/>
          <w:numId w:val="15"/>
        </w:numPr>
        <w:rPr>
          <w:szCs w:val="24"/>
        </w:rPr>
      </w:pPr>
      <w:r w:rsidRPr="00EF07A8">
        <w:rPr>
          <w:szCs w:val="24"/>
        </w:rPr>
        <w:t>Evaluar la capacidad de cobertura de provisiones de las entidades del segmento 1 del SFPS.</w:t>
      </w:r>
    </w:p>
    <w:p w:rsidR="006D0FEA" w:rsidRPr="00EF07A8" w:rsidRDefault="006D0FEA" w:rsidP="006D0FEA">
      <w:pPr>
        <w:pStyle w:val="Prrafodelista"/>
        <w:numPr>
          <w:ilvl w:val="0"/>
          <w:numId w:val="15"/>
        </w:numPr>
        <w:rPr>
          <w:szCs w:val="24"/>
        </w:rPr>
      </w:pPr>
      <w:r w:rsidRPr="00EF07A8">
        <w:rPr>
          <w:szCs w:val="24"/>
        </w:rPr>
        <w:t>Evaluar la posibilidad de materialización de un riesgo sistémico derivado de la cobertura de las provisiones sobre las pérdidas esperadas.</w:t>
      </w:r>
    </w:p>
    <w:p w:rsidR="00D93F85" w:rsidRDefault="006D0FEA" w:rsidP="005C641F">
      <w:pPr>
        <w:pStyle w:val="Prrafodelista"/>
        <w:numPr>
          <w:ilvl w:val="0"/>
          <w:numId w:val="15"/>
        </w:numPr>
        <w:rPr>
          <w:szCs w:val="24"/>
        </w:rPr>
      </w:pPr>
      <w:r w:rsidRPr="00EF07A8">
        <w:rPr>
          <w:szCs w:val="24"/>
        </w:rPr>
        <w:t>Determinar acciones correctivas sobre la calidad de la cartera de crédito.</w:t>
      </w:r>
    </w:p>
    <w:p w:rsidR="00BF3F7C" w:rsidRPr="005C641F" w:rsidRDefault="00BF3F7C" w:rsidP="001B42B3">
      <w:pPr>
        <w:pStyle w:val="Prrafodelista"/>
        <w:numPr>
          <w:ilvl w:val="2"/>
          <w:numId w:val="12"/>
        </w:numPr>
        <w:tabs>
          <w:tab w:val="left" w:pos="1134"/>
        </w:tabs>
        <w:rPr>
          <w:rFonts w:cs="Times New Roman"/>
          <w:b/>
          <w:szCs w:val="24"/>
        </w:rPr>
      </w:pPr>
      <w:r w:rsidRPr="005C641F">
        <w:rPr>
          <w:rFonts w:cs="Times New Roman"/>
          <w:b/>
          <w:szCs w:val="24"/>
        </w:rPr>
        <w:lastRenderedPageBreak/>
        <w:t>Identificación de la literatura académica</w:t>
      </w:r>
    </w:p>
    <w:p w:rsidR="005C641F" w:rsidRDefault="005C641F" w:rsidP="005C641F">
      <w:pPr>
        <w:ind w:firstLine="348"/>
      </w:pPr>
      <w:r>
        <w:t xml:space="preserve">La pérdida esperada se define como el valor esperado de pérdida derivada del riesgo de crédito en un horizonte de tiempo específico. De acuerdo con las definiciones establecidas por el Comité de Basilea en el Acuerdo II, las pérdidas esperadas son el producto de la probabilidad de incumplimiento, el nivel de exposición en el momento del incumplimiento y la severidad de la pérdida. Esta forma de cálculo es la metodología estándar definida por Basilea que se fundamenta en el comportamiento histórico de una cartera de crédito específica. </w:t>
      </w:r>
    </w:p>
    <w:p w:rsidR="005C641F" w:rsidRDefault="005C641F" w:rsidP="005C641F">
      <w:pPr>
        <w:ind w:firstLine="348"/>
      </w:pPr>
      <w:r>
        <w:t>Con base en el Acuerdo II, se define a la probabilidad de incumplimiento como la probabilidad de que un prestatario se declare insolvente y deje de pagar las cuotas correspondientes a las operaciones de crédito a su nombre. Por su parte, el nivel de exposición es el porcentaje de un crédito que se considera como incobrable; y la severidad de la pérdida es el saldo de la deuda pendiente de pago en el momento del incumplimiento de pago del cliente.</w:t>
      </w:r>
    </w:p>
    <w:p w:rsidR="005C641F" w:rsidRDefault="005C641F" w:rsidP="005C641F">
      <w:pPr>
        <w:ind w:firstLine="348"/>
      </w:pPr>
      <w:r>
        <w:t>Con base en los parámetros definidos por Basilea, la Confederación Alemana de Cooperativas (DGRV)</w:t>
      </w:r>
      <w:r w:rsidRPr="005C641F">
        <w:footnoteReference w:id="1"/>
      </w:r>
      <w:r>
        <w:t xml:space="preserve"> señala que la implementación y aplicación de una eficaz gestión de riesgos es trascendente para la sostenibilidad de las cooperativas de ahorro y crédito. En este sentido, afirma que la cuantificación adecuada y razonable de los riesgos de irrecuperabilidad derivados de la colocación crediticia constituye un eje fundamental en esta gestión; y que la metodología aplicada es determinante en la confiabilidad y veracidad de la estimación de pérdidas esperadas y no esperadas.</w:t>
      </w:r>
    </w:p>
    <w:p w:rsidR="005C641F" w:rsidRPr="00896539" w:rsidRDefault="005C641F" w:rsidP="005C641F">
      <w:pPr>
        <w:ind w:firstLine="348"/>
      </w:pPr>
      <w:r>
        <w:t>Con estos antecedentes, la administración integral de riesgos tiene como unos de los ejes centrales el riesgo de crédito y con él la cuantificación de las pérdidas esperadas e inesperadas, mismas que inciden en la sostenibilidad de las instituciones financieras, en nuestro caso, de las cooperativas de ahorro y crédito. Una gestión y estimación adecuada de las pérdidas esperadas e inesperadas es fundamental para identificar posibles riesgos sistémicos en el sistema financiero ecuatoriano.</w:t>
      </w:r>
    </w:p>
    <w:p w:rsidR="00A1360F" w:rsidRPr="005C641F" w:rsidRDefault="00A1360F" w:rsidP="001B42B3">
      <w:pPr>
        <w:pStyle w:val="Prrafodelista"/>
        <w:numPr>
          <w:ilvl w:val="2"/>
          <w:numId w:val="12"/>
        </w:numPr>
        <w:tabs>
          <w:tab w:val="left" w:pos="1134"/>
        </w:tabs>
        <w:rPr>
          <w:rFonts w:cs="Times New Roman"/>
          <w:b/>
          <w:szCs w:val="24"/>
        </w:rPr>
      </w:pPr>
      <w:r w:rsidRPr="005C641F">
        <w:rPr>
          <w:rFonts w:cs="Times New Roman"/>
          <w:b/>
          <w:szCs w:val="24"/>
        </w:rPr>
        <w:lastRenderedPageBreak/>
        <w:t xml:space="preserve">Justificación de la pertinencia y/o relevancia del problema </w:t>
      </w:r>
    </w:p>
    <w:p w:rsidR="007B0203" w:rsidRPr="007B0203" w:rsidRDefault="00A1360F" w:rsidP="007B0203">
      <w:pPr>
        <w:tabs>
          <w:tab w:val="left" w:pos="426"/>
        </w:tabs>
        <w:rPr>
          <w:rFonts w:cs="Times New Roman"/>
          <w:szCs w:val="24"/>
        </w:rPr>
      </w:pPr>
      <w:r w:rsidRPr="001B42B3">
        <w:rPr>
          <w:rFonts w:cs="Times New Roman"/>
          <w:szCs w:val="24"/>
        </w:rPr>
        <w:tab/>
      </w:r>
      <w:r w:rsidR="007B0203" w:rsidRPr="007B0203">
        <w:rPr>
          <w:rFonts w:cs="Times New Roman"/>
          <w:szCs w:val="24"/>
        </w:rPr>
        <w:t xml:space="preserve">El sistema financiero ecuatoriano debe ser monitoreado constantemente para mitigar y minimizar la posibilidad de materialización de un riesgo sistémico. </w:t>
      </w:r>
    </w:p>
    <w:p w:rsidR="007B0203" w:rsidRDefault="007B0203" w:rsidP="007B0203">
      <w:pPr>
        <w:tabs>
          <w:tab w:val="left" w:pos="426"/>
        </w:tabs>
        <w:rPr>
          <w:rFonts w:cs="Times New Roman"/>
          <w:szCs w:val="24"/>
        </w:rPr>
      </w:pPr>
      <w:r w:rsidRPr="007B0203">
        <w:rPr>
          <w:rFonts w:cs="Times New Roman"/>
          <w:szCs w:val="24"/>
        </w:rPr>
        <w:t>En esta línea, la gestión de la cartera de crédito constituye un eje central en este proceso de monitoreo pues la calidad de este activo puede ser cuantificada en pérdidas esperadas e inesperadas, mismas que pueden provocar problemas patrimoniales y afectar la sostenibilidad de las entidades a mediano y largo plazo. Si una entidad es inviable e insostenible, su cierre puede desencadenar un riesgo sistémico debido a las interrelaciones existentes entre las entidades financieras.</w:t>
      </w:r>
    </w:p>
    <w:p w:rsidR="007B0203" w:rsidRPr="001B42B3" w:rsidRDefault="007B0203" w:rsidP="00B12B68">
      <w:pPr>
        <w:tabs>
          <w:tab w:val="left" w:pos="426"/>
        </w:tabs>
        <w:rPr>
          <w:rFonts w:cs="Times New Roman"/>
          <w:szCs w:val="24"/>
        </w:rPr>
      </w:pPr>
    </w:p>
    <w:p w:rsidR="001142CB" w:rsidRDefault="001142CB" w:rsidP="007B0203">
      <w:pPr>
        <w:pStyle w:val="Prrafodelista"/>
        <w:numPr>
          <w:ilvl w:val="0"/>
          <w:numId w:val="16"/>
        </w:numPr>
        <w:tabs>
          <w:tab w:val="left" w:pos="1134"/>
        </w:tabs>
        <w:rPr>
          <w:rFonts w:cs="Times New Roman"/>
          <w:b/>
          <w:szCs w:val="24"/>
        </w:rPr>
      </w:pPr>
      <w:r w:rsidRPr="007B0203">
        <w:rPr>
          <w:rFonts w:cs="Times New Roman"/>
          <w:b/>
          <w:szCs w:val="24"/>
        </w:rPr>
        <w:t>Acopio y procesamiento de la información</w:t>
      </w:r>
    </w:p>
    <w:p w:rsidR="007B0203" w:rsidRPr="007B0203" w:rsidRDefault="007B0203" w:rsidP="007B0203">
      <w:pPr>
        <w:ind w:firstLine="360"/>
        <w:rPr>
          <w:rFonts w:cs="Times New Roman"/>
          <w:szCs w:val="24"/>
        </w:rPr>
      </w:pPr>
      <w:r w:rsidRPr="007B0203">
        <w:rPr>
          <w:rFonts w:cs="Times New Roman"/>
          <w:szCs w:val="24"/>
        </w:rPr>
        <w:t xml:space="preserve">La información utilizada para este estudio son las estructuras de cartera de crédito C01 “Operaciones concedidas” y C02 “Saldo de operaciones” reportadas mensualmente por las entidades del SFPS del segmento 1 durante el año 2017. Además se usará la información de los balances financieros del año 2017 de estas mismas entidades. </w:t>
      </w:r>
    </w:p>
    <w:p w:rsidR="007B0203" w:rsidRPr="007B0203" w:rsidRDefault="007B0203" w:rsidP="007B0203">
      <w:pPr>
        <w:ind w:firstLine="360"/>
        <w:rPr>
          <w:rFonts w:cs="Times New Roman"/>
          <w:szCs w:val="24"/>
        </w:rPr>
      </w:pPr>
      <w:r w:rsidRPr="007B0203">
        <w:rPr>
          <w:rFonts w:cs="Times New Roman"/>
          <w:szCs w:val="24"/>
        </w:rPr>
        <w:t>Toda la información se procesará con el paquete estadístico SPSS.</w:t>
      </w:r>
    </w:p>
    <w:p w:rsidR="007B0203" w:rsidRDefault="007B0203" w:rsidP="007B0203">
      <w:pPr>
        <w:ind w:firstLine="360"/>
        <w:rPr>
          <w:rFonts w:cs="Times New Roman"/>
          <w:szCs w:val="24"/>
        </w:rPr>
      </w:pPr>
      <w:r w:rsidRPr="007B0203">
        <w:rPr>
          <w:rFonts w:cs="Times New Roman"/>
          <w:szCs w:val="24"/>
        </w:rPr>
        <w:t>En relación a la metodología, se revisará toda la bibliografía disponible sobre la estimación de pérdidas esperadas.</w:t>
      </w:r>
    </w:p>
    <w:p w:rsidR="00452C36" w:rsidRPr="007B0203" w:rsidRDefault="00452C36" w:rsidP="00B12B68">
      <w:pPr>
        <w:ind w:firstLine="360"/>
        <w:rPr>
          <w:rFonts w:cs="Times New Roman"/>
          <w:szCs w:val="24"/>
        </w:rPr>
      </w:pPr>
    </w:p>
    <w:p w:rsidR="001142CB" w:rsidRDefault="00452C36" w:rsidP="00452C36">
      <w:pPr>
        <w:pStyle w:val="Prrafodelista"/>
        <w:numPr>
          <w:ilvl w:val="0"/>
          <w:numId w:val="16"/>
        </w:numPr>
        <w:tabs>
          <w:tab w:val="left" w:pos="1134"/>
        </w:tabs>
        <w:rPr>
          <w:rFonts w:cs="Times New Roman"/>
          <w:b/>
          <w:szCs w:val="24"/>
        </w:rPr>
      </w:pPr>
      <w:r>
        <w:rPr>
          <w:rFonts w:cs="Times New Roman"/>
          <w:b/>
          <w:szCs w:val="24"/>
        </w:rPr>
        <w:t>P</w:t>
      </w:r>
      <w:r w:rsidR="001142CB" w:rsidRPr="00452C36">
        <w:rPr>
          <w:rFonts w:cs="Times New Roman"/>
          <w:b/>
          <w:szCs w:val="24"/>
        </w:rPr>
        <w:t>ropuesta de contenido</w:t>
      </w:r>
    </w:p>
    <w:p w:rsidR="006E2EAB" w:rsidRPr="006E2EAB" w:rsidRDefault="006E2EAB" w:rsidP="00B12B68">
      <w:pPr>
        <w:rPr>
          <w:rFonts w:cs="Times New Roman"/>
          <w:b/>
        </w:rPr>
      </w:pPr>
      <w:r w:rsidRPr="006E2EAB">
        <w:rPr>
          <w:rFonts w:cs="Times New Roman"/>
          <w:b/>
        </w:rPr>
        <w:t xml:space="preserve">Capítulo 1  </w:t>
      </w:r>
    </w:p>
    <w:p w:rsidR="006E2EAB" w:rsidRPr="006E2EAB" w:rsidRDefault="006E2EAB" w:rsidP="00B12B68">
      <w:pPr>
        <w:rPr>
          <w:rFonts w:cs="Times New Roman"/>
        </w:rPr>
      </w:pPr>
      <w:r w:rsidRPr="006E2EAB">
        <w:rPr>
          <w:rFonts w:cs="Times New Roman"/>
        </w:rPr>
        <w:t>Descripción del problema</w:t>
      </w:r>
    </w:p>
    <w:p w:rsidR="006E2EAB" w:rsidRPr="006E2EAB" w:rsidRDefault="006E2EAB" w:rsidP="00B12B68">
      <w:pPr>
        <w:rPr>
          <w:rFonts w:cs="Times New Roman"/>
        </w:rPr>
      </w:pPr>
      <w:r w:rsidRPr="006E2EAB">
        <w:rPr>
          <w:rFonts w:cs="Times New Roman"/>
        </w:rPr>
        <w:t>Justificación</w:t>
      </w:r>
    </w:p>
    <w:p w:rsidR="006E2EAB" w:rsidRPr="006E2EAB" w:rsidRDefault="006E2EAB" w:rsidP="00B12B68">
      <w:pPr>
        <w:rPr>
          <w:rFonts w:cs="Times New Roman"/>
        </w:rPr>
      </w:pPr>
      <w:r w:rsidRPr="006E2EAB">
        <w:rPr>
          <w:rFonts w:cs="Times New Roman"/>
        </w:rPr>
        <w:t>Pregunta central</w:t>
      </w:r>
    </w:p>
    <w:p w:rsidR="006E2EAB" w:rsidRPr="006E2EAB" w:rsidRDefault="006E2EAB" w:rsidP="00B12B68">
      <w:pPr>
        <w:rPr>
          <w:rFonts w:cs="Times New Roman"/>
        </w:rPr>
      </w:pPr>
      <w:proofErr w:type="gramStart"/>
      <w:r w:rsidRPr="006E2EAB">
        <w:rPr>
          <w:rFonts w:cs="Times New Roman"/>
        </w:rPr>
        <w:lastRenderedPageBreak/>
        <w:t>Objetivos general y específicos</w:t>
      </w:r>
      <w:proofErr w:type="gramEnd"/>
    </w:p>
    <w:p w:rsidR="006E2EAB" w:rsidRPr="006E2EAB" w:rsidRDefault="006E2EAB" w:rsidP="00B12B68">
      <w:pPr>
        <w:rPr>
          <w:rFonts w:cs="Times New Roman"/>
          <w:b/>
        </w:rPr>
      </w:pPr>
      <w:r w:rsidRPr="006E2EAB">
        <w:rPr>
          <w:rFonts w:cs="Times New Roman"/>
          <w:b/>
        </w:rPr>
        <w:t xml:space="preserve">Capítulo 2 </w:t>
      </w:r>
    </w:p>
    <w:p w:rsidR="006E2EAB" w:rsidRPr="006E2EAB" w:rsidRDefault="006E2EAB" w:rsidP="00B12B68">
      <w:pPr>
        <w:rPr>
          <w:rFonts w:cs="Times New Roman"/>
        </w:rPr>
      </w:pPr>
      <w:r w:rsidRPr="006E2EAB">
        <w:rPr>
          <w:rFonts w:cs="Times New Roman"/>
        </w:rPr>
        <w:t>Diagnóstico del sector financiero popular y solidario (SFPS) del Ecuador</w:t>
      </w:r>
    </w:p>
    <w:p w:rsidR="006E2EAB" w:rsidRPr="006E2EAB" w:rsidRDefault="006E2EAB" w:rsidP="00B12B68">
      <w:pPr>
        <w:rPr>
          <w:rFonts w:cs="Times New Roman"/>
        </w:rPr>
      </w:pPr>
      <w:r w:rsidRPr="006E2EAB">
        <w:rPr>
          <w:rFonts w:cs="Times New Roman"/>
        </w:rPr>
        <w:t>Marco normativo vigente</w:t>
      </w:r>
    </w:p>
    <w:p w:rsidR="006E2EAB" w:rsidRPr="006E2EAB" w:rsidRDefault="006E2EAB" w:rsidP="00B12B68">
      <w:pPr>
        <w:rPr>
          <w:rFonts w:cs="Times New Roman"/>
          <w:b/>
        </w:rPr>
      </w:pPr>
      <w:r w:rsidRPr="006E2EAB">
        <w:rPr>
          <w:rFonts w:cs="Times New Roman"/>
          <w:b/>
        </w:rPr>
        <w:t>Capítulo 3</w:t>
      </w:r>
    </w:p>
    <w:p w:rsidR="006E2EAB" w:rsidRPr="006E2EAB" w:rsidRDefault="006E2EAB" w:rsidP="00B12B68">
      <w:pPr>
        <w:rPr>
          <w:rFonts w:cs="Times New Roman"/>
        </w:rPr>
      </w:pPr>
      <w:r w:rsidRPr="006E2EAB">
        <w:rPr>
          <w:rFonts w:cs="Times New Roman"/>
        </w:rPr>
        <w:t>Metodología de pérdidas esperadas</w:t>
      </w:r>
    </w:p>
    <w:p w:rsidR="006E2EAB" w:rsidRPr="006E2EAB" w:rsidRDefault="006E2EAB" w:rsidP="00B12B68">
      <w:pPr>
        <w:rPr>
          <w:rFonts w:cs="Times New Roman"/>
        </w:rPr>
      </w:pPr>
      <w:r w:rsidRPr="006E2EAB">
        <w:rPr>
          <w:rFonts w:cs="Times New Roman"/>
        </w:rPr>
        <w:t>Fuentes de información</w:t>
      </w:r>
    </w:p>
    <w:p w:rsidR="006E2EAB" w:rsidRPr="006E2EAB" w:rsidRDefault="006E2EAB" w:rsidP="00B12B68">
      <w:pPr>
        <w:rPr>
          <w:rFonts w:cs="Times New Roman"/>
        </w:rPr>
      </w:pPr>
      <w:r w:rsidRPr="006E2EAB">
        <w:rPr>
          <w:rFonts w:cs="Times New Roman"/>
        </w:rPr>
        <w:t>Estimación de pérdidas esperadas para las entidades del SFPS del segmento 1</w:t>
      </w:r>
    </w:p>
    <w:p w:rsidR="006E2EAB" w:rsidRPr="006E2EAB" w:rsidRDefault="006E2EAB" w:rsidP="00B12B68">
      <w:pPr>
        <w:rPr>
          <w:rFonts w:cs="Times New Roman"/>
        </w:rPr>
      </w:pPr>
      <w:r w:rsidRPr="006E2EAB">
        <w:rPr>
          <w:rFonts w:cs="Times New Roman"/>
        </w:rPr>
        <w:t>Análisis sistémico y de sobrevivencia</w:t>
      </w:r>
    </w:p>
    <w:p w:rsidR="006E2EAB" w:rsidRPr="006E2EAB" w:rsidRDefault="006E2EAB" w:rsidP="00B12B68">
      <w:pPr>
        <w:rPr>
          <w:rFonts w:cs="Times New Roman"/>
          <w:b/>
        </w:rPr>
      </w:pPr>
      <w:r w:rsidRPr="006E2EAB">
        <w:rPr>
          <w:rFonts w:cs="Times New Roman"/>
          <w:b/>
        </w:rPr>
        <w:t>Capítulo 4</w:t>
      </w:r>
    </w:p>
    <w:p w:rsidR="006E2EAB" w:rsidRPr="006E2EAB" w:rsidRDefault="006E2EAB" w:rsidP="00B12B68">
      <w:pPr>
        <w:rPr>
          <w:rFonts w:cs="Times New Roman"/>
        </w:rPr>
      </w:pPr>
      <w:r w:rsidRPr="006E2EAB">
        <w:rPr>
          <w:rFonts w:cs="Times New Roman"/>
        </w:rPr>
        <w:t>Conclusiones</w:t>
      </w:r>
    </w:p>
    <w:p w:rsidR="006E2EAB" w:rsidRPr="006E2EAB" w:rsidRDefault="006E2EAB" w:rsidP="00B12B68">
      <w:pPr>
        <w:rPr>
          <w:rFonts w:cs="Times New Roman"/>
        </w:rPr>
      </w:pPr>
      <w:r w:rsidRPr="006E2EAB">
        <w:rPr>
          <w:rFonts w:cs="Times New Roman"/>
        </w:rPr>
        <w:t>Recomendaciones</w:t>
      </w:r>
    </w:p>
    <w:p w:rsidR="006E2EAB" w:rsidRPr="006E2EAB" w:rsidRDefault="006E2EAB" w:rsidP="00B12B68">
      <w:pPr>
        <w:rPr>
          <w:rFonts w:cs="Times New Roman"/>
        </w:rPr>
      </w:pPr>
      <w:r w:rsidRPr="006E2EAB">
        <w:rPr>
          <w:rFonts w:cs="Times New Roman"/>
        </w:rPr>
        <w:t>Bibliografía</w:t>
      </w:r>
    </w:p>
    <w:p w:rsidR="006E2EAB" w:rsidRPr="006E2EAB" w:rsidRDefault="006E2EAB" w:rsidP="006E2EAB">
      <w:pPr>
        <w:tabs>
          <w:tab w:val="left" w:pos="1134"/>
        </w:tabs>
        <w:rPr>
          <w:rFonts w:cs="Times New Roman"/>
          <w:b/>
          <w:szCs w:val="24"/>
        </w:rPr>
      </w:pPr>
    </w:p>
    <w:p w:rsidR="00FB22F3" w:rsidRPr="006E2EAB" w:rsidRDefault="001142CB" w:rsidP="006E2EAB">
      <w:pPr>
        <w:pStyle w:val="Prrafodelista"/>
        <w:numPr>
          <w:ilvl w:val="0"/>
          <w:numId w:val="16"/>
        </w:numPr>
        <w:tabs>
          <w:tab w:val="left" w:pos="1134"/>
        </w:tabs>
        <w:rPr>
          <w:rFonts w:cs="Times New Roman"/>
          <w:b/>
          <w:szCs w:val="24"/>
        </w:rPr>
      </w:pPr>
      <w:r w:rsidRPr="006E2EAB">
        <w:rPr>
          <w:rFonts w:cs="Times New Roman"/>
          <w:b/>
          <w:szCs w:val="24"/>
        </w:rPr>
        <w:t xml:space="preserve">Cronograma </w:t>
      </w:r>
      <w:bookmarkStart w:id="0" w:name="_GoBack"/>
      <w:bookmarkEnd w:id="0"/>
    </w:p>
    <w:tbl>
      <w:tblPr>
        <w:tblW w:w="5000" w:type="pct"/>
        <w:jc w:val="center"/>
        <w:tblCellMar>
          <w:left w:w="70" w:type="dxa"/>
          <w:right w:w="70" w:type="dxa"/>
        </w:tblCellMar>
        <w:tblLook w:val="04A0" w:firstRow="1" w:lastRow="0" w:firstColumn="1" w:lastColumn="0" w:noHBand="0" w:noVBand="1"/>
      </w:tblPr>
      <w:tblGrid>
        <w:gridCol w:w="3802"/>
        <w:gridCol w:w="383"/>
        <w:gridCol w:w="383"/>
        <w:gridCol w:w="384"/>
        <w:gridCol w:w="386"/>
        <w:gridCol w:w="384"/>
        <w:gridCol w:w="384"/>
        <w:gridCol w:w="384"/>
        <w:gridCol w:w="384"/>
        <w:gridCol w:w="436"/>
        <w:gridCol w:w="578"/>
        <w:gridCol w:w="521"/>
        <w:gridCol w:w="569"/>
      </w:tblGrid>
      <w:tr w:rsidR="004E5DE0" w:rsidRPr="00AE5CE6" w:rsidTr="00AB708C">
        <w:trPr>
          <w:trHeight w:val="300"/>
          <w:jc w:val="center"/>
        </w:trPr>
        <w:tc>
          <w:tcPr>
            <w:tcW w:w="2117" w:type="pct"/>
            <w:vMerge w:val="restart"/>
            <w:tcBorders>
              <w:top w:val="single" w:sz="4" w:space="0" w:color="auto"/>
              <w:left w:val="single" w:sz="4" w:space="0" w:color="auto"/>
              <w:bottom w:val="single" w:sz="4" w:space="0" w:color="000000"/>
              <w:right w:val="nil"/>
            </w:tcBorders>
            <w:shd w:val="clear" w:color="auto" w:fill="auto"/>
            <w:noWrap/>
            <w:vAlign w:val="center"/>
            <w:hideMark/>
          </w:tcPr>
          <w:p w:rsidR="004E5DE0" w:rsidRPr="00AE5CE6" w:rsidRDefault="004E5DE0" w:rsidP="00AB708C">
            <w:pPr>
              <w:jc w:val="center"/>
              <w:rPr>
                <w:rFonts w:cs="Times New Roman"/>
                <w:b/>
                <w:bCs/>
                <w:szCs w:val="24"/>
              </w:rPr>
            </w:pPr>
            <w:r w:rsidRPr="00AE5CE6">
              <w:rPr>
                <w:rFonts w:cs="Times New Roman"/>
                <w:b/>
                <w:bCs/>
                <w:szCs w:val="24"/>
              </w:rPr>
              <w:t>ACTIVIDAD</w:t>
            </w:r>
          </w:p>
        </w:tc>
        <w:tc>
          <w:tcPr>
            <w:tcW w:w="855"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5DE0" w:rsidRPr="00AE5CE6" w:rsidRDefault="004E5DE0" w:rsidP="00AB708C">
            <w:pPr>
              <w:jc w:val="center"/>
              <w:rPr>
                <w:rFonts w:cs="Times New Roman"/>
                <w:b/>
                <w:bCs/>
                <w:szCs w:val="24"/>
              </w:rPr>
            </w:pPr>
            <w:r w:rsidRPr="00AE5CE6">
              <w:rPr>
                <w:rFonts w:cs="Times New Roman"/>
                <w:b/>
                <w:bCs/>
                <w:szCs w:val="24"/>
              </w:rPr>
              <w:t>JULIO</w:t>
            </w:r>
          </w:p>
        </w:tc>
        <w:tc>
          <w:tcPr>
            <w:tcW w:w="856" w:type="pct"/>
            <w:gridSpan w:val="4"/>
            <w:tcBorders>
              <w:top w:val="single" w:sz="4" w:space="0" w:color="auto"/>
              <w:left w:val="nil"/>
              <w:bottom w:val="single" w:sz="4" w:space="0" w:color="auto"/>
              <w:right w:val="single" w:sz="4" w:space="0" w:color="auto"/>
            </w:tcBorders>
            <w:shd w:val="clear" w:color="auto" w:fill="auto"/>
            <w:noWrap/>
            <w:vAlign w:val="center"/>
            <w:hideMark/>
          </w:tcPr>
          <w:p w:rsidR="004E5DE0" w:rsidRPr="00AE5CE6" w:rsidRDefault="004E5DE0" w:rsidP="00AB708C">
            <w:pPr>
              <w:jc w:val="center"/>
              <w:rPr>
                <w:rFonts w:cs="Times New Roman"/>
                <w:b/>
                <w:bCs/>
                <w:szCs w:val="24"/>
              </w:rPr>
            </w:pPr>
            <w:r w:rsidRPr="00AE5CE6">
              <w:rPr>
                <w:rFonts w:cs="Times New Roman"/>
                <w:b/>
                <w:bCs/>
                <w:szCs w:val="24"/>
              </w:rPr>
              <w:t>AGOSTO</w:t>
            </w:r>
          </w:p>
        </w:tc>
        <w:tc>
          <w:tcPr>
            <w:tcW w:w="1173" w:type="pct"/>
            <w:gridSpan w:val="4"/>
            <w:tcBorders>
              <w:top w:val="single" w:sz="4" w:space="0" w:color="auto"/>
              <w:left w:val="nil"/>
              <w:bottom w:val="single" w:sz="4" w:space="0" w:color="auto"/>
              <w:right w:val="single" w:sz="4" w:space="0" w:color="auto"/>
            </w:tcBorders>
            <w:shd w:val="clear" w:color="auto" w:fill="auto"/>
            <w:noWrap/>
            <w:vAlign w:val="center"/>
            <w:hideMark/>
          </w:tcPr>
          <w:p w:rsidR="004E5DE0" w:rsidRPr="00AE5CE6" w:rsidRDefault="004E5DE0" w:rsidP="00AB708C">
            <w:pPr>
              <w:jc w:val="center"/>
              <w:rPr>
                <w:rFonts w:cs="Times New Roman"/>
                <w:b/>
                <w:bCs/>
                <w:szCs w:val="24"/>
              </w:rPr>
            </w:pPr>
            <w:r w:rsidRPr="00AE5CE6">
              <w:rPr>
                <w:rFonts w:cs="Times New Roman"/>
                <w:b/>
                <w:bCs/>
                <w:szCs w:val="24"/>
              </w:rPr>
              <w:t>SEPTIEMBRE</w:t>
            </w:r>
          </w:p>
        </w:tc>
      </w:tr>
      <w:tr w:rsidR="004E5DE0" w:rsidRPr="00AE5CE6" w:rsidTr="00AB708C">
        <w:trPr>
          <w:trHeight w:val="300"/>
          <w:jc w:val="center"/>
        </w:trPr>
        <w:tc>
          <w:tcPr>
            <w:tcW w:w="2117" w:type="pct"/>
            <w:vMerge/>
            <w:tcBorders>
              <w:top w:val="single" w:sz="4" w:space="0" w:color="auto"/>
              <w:left w:val="single" w:sz="4" w:space="0" w:color="auto"/>
              <w:bottom w:val="single" w:sz="4" w:space="0" w:color="000000"/>
              <w:right w:val="nil"/>
            </w:tcBorders>
            <w:vAlign w:val="center"/>
            <w:hideMark/>
          </w:tcPr>
          <w:p w:rsidR="004E5DE0" w:rsidRPr="00AE5CE6" w:rsidRDefault="004E5DE0" w:rsidP="00AB708C">
            <w:pPr>
              <w:jc w:val="center"/>
              <w:rPr>
                <w:rFonts w:cs="Times New Roman"/>
                <w:b/>
                <w:bCs/>
                <w:szCs w:val="24"/>
              </w:rPr>
            </w:pPr>
          </w:p>
        </w:tc>
        <w:tc>
          <w:tcPr>
            <w:tcW w:w="2883" w:type="pct"/>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5DE0" w:rsidRPr="00AE5CE6" w:rsidRDefault="004E5DE0" w:rsidP="00AB708C">
            <w:pPr>
              <w:jc w:val="center"/>
              <w:rPr>
                <w:rFonts w:cs="Times New Roman"/>
                <w:b/>
                <w:bCs/>
                <w:szCs w:val="24"/>
              </w:rPr>
            </w:pPr>
            <w:r w:rsidRPr="00AE5CE6">
              <w:rPr>
                <w:rFonts w:cs="Times New Roman"/>
                <w:b/>
                <w:bCs/>
                <w:szCs w:val="24"/>
              </w:rPr>
              <w:t>Semanas</w:t>
            </w:r>
          </w:p>
        </w:tc>
      </w:tr>
      <w:tr w:rsidR="004E5DE0" w:rsidRPr="00AE5CE6" w:rsidTr="00AB708C">
        <w:trPr>
          <w:trHeight w:val="300"/>
          <w:jc w:val="center"/>
        </w:trPr>
        <w:tc>
          <w:tcPr>
            <w:tcW w:w="2117" w:type="pct"/>
            <w:vMerge/>
            <w:tcBorders>
              <w:top w:val="single" w:sz="4" w:space="0" w:color="auto"/>
              <w:left w:val="single" w:sz="4" w:space="0" w:color="auto"/>
              <w:bottom w:val="single" w:sz="4" w:space="0" w:color="000000"/>
              <w:right w:val="nil"/>
            </w:tcBorders>
            <w:vAlign w:val="center"/>
            <w:hideMark/>
          </w:tcPr>
          <w:p w:rsidR="004E5DE0" w:rsidRPr="00AE5CE6" w:rsidRDefault="004E5DE0" w:rsidP="00AB708C">
            <w:pPr>
              <w:jc w:val="center"/>
              <w:rPr>
                <w:rFonts w:cs="Times New Roman"/>
                <w:b/>
                <w:bCs/>
                <w:szCs w:val="24"/>
              </w:rPr>
            </w:pP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4E5DE0" w:rsidRPr="00AE5CE6" w:rsidRDefault="004E5DE0" w:rsidP="00AB708C">
            <w:pPr>
              <w:jc w:val="center"/>
              <w:rPr>
                <w:rFonts w:cs="Times New Roman"/>
                <w:b/>
                <w:bCs/>
                <w:szCs w:val="24"/>
              </w:rPr>
            </w:pPr>
            <w:r w:rsidRPr="00AE5CE6">
              <w:rPr>
                <w:rFonts w:cs="Times New Roman"/>
                <w:b/>
                <w:bCs/>
                <w:szCs w:val="24"/>
              </w:rPr>
              <w:t>1</w:t>
            </w:r>
          </w:p>
        </w:tc>
        <w:tc>
          <w:tcPr>
            <w:tcW w:w="213" w:type="pct"/>
            <w:tcBorders>
              <w:top w:val="nil"/>
              <w:left w:val="nil"/>
              <w:bottom w:val="single" w:sz="4" w:space="0" w:color="auto"/>
              <w:right w:val="single" w:sz="4" w:space="0" w:color="auto"/>
            </w:tcBorders>
            <w:shd w:val="clear" w:color="auto" w:fill="auto"/>
            <w:noWrap/>
            <w:vAlign w:val="center"/>
            <w:hideMark/>
          </w:tcPr>
          <w:p w:rsidR="004E5DE0" w:rsidRPr="00AE5CE6" w:rsidRDefault="004E5DE0" w:rsidP="00AB708C">
            <w:pPr>
              <w:jc w:val="center"/>
              <w:rPr>
                <w:rFonts w:cs="Times New Roman"/>
                <w:b/>
                <w:bCs/>
                <w:szCs w:val="24"/>
              </w:rPr>
            </w:pPr>
            <w:r w:rsidRPr="00AE5CE6">
              <w:rPr>
                <w:rFonts w:cs="Times New Roman"/>
                <w:b/>
                <w:bCs/>
                <w:szCs w:val="24"/>
              </w:rPr>
              <w:t>2</w:t>
            </w:r>
          </w:p>
        </w:tc>
        <w:tc>
          <w:tcPr>
            <w:tcW w:w="214" w:type="pct"/>
            <w:tcBorders>
              <w:top w:val="nil"/>
              <w:left w:val="nil"/>
              <w:bottom w:val="single" w:sz="4" w:space="0" w:color="auto"/>
              <w:right w:val="single" w:sz="4" w:space="0" w:color="auto"/>
            </w:tcBorders>
            <w:shd w:val="clear" w:color="auto" w:fill="auto"/>
            <w:noWrap/>
            <w:vAlign w:val="center"/>
            <w:hideMark/>
          </w:tcPr>
          <w:p w:rsidR="004E5DE0" w:rsidRPr="00AE5CE6" w:rsidRDefault="004E5DE0" w:rsidP="00AB708C">
            <w:pPr>
              <w:jc w:val="center"/>
              <w:rPr>
                <w:rFonts w:cs="Times New Roman"/>
                <w:b/>
                <w:bCs/>
                <w:szCs w:val="24"/>
              </w:rPr>
            </w:pPr>
            <w:r w:rsidRPr="00AE5CE6">
              <w:rPr>
                <w:rFonts w:cs="Times New Roman"/>
                <w:b/>
                <w:bCs/>
                <w:szCs w:val="24"/>
              </w:rPr>
              <w:t>3</w:t>
            </w:r>
          </w:p>
        </w:tc>
        <w:tc>
          <w:tcPr>
            <w:tcW w:w="214" w:type="pct"/>
            <w:tcBorders>
              <w:top w:val="nil"/>
              <w:left w:val="nil"/>
              <w:bottom w:val="single" w:sz="4" w:space="0" w:color="auto"/>
              <w:right w:val="single" w:sz="4" w:space="0" w:color="auto"/>
            </w:tcBorders>
            <w:shd w:val="clear" w:color="auto" w:fill="auto"/>
            <w:noWrap/>
            <w:vAlign w:val="center"/>
            <w:hideMark/>
          </w:tcPr>
          <w:p w:rsidR="004E5DE0" w:rsidRPr="00AE5CE6" w:rsidRDefault="004E5DE0" w:rsidP="00AB708C">
            <w:pPr>
              <w:jc w:val="center"/>
              <w:rPr>
                <w:rFonts w:cs="Times New Roman"/>
                <w:b/>
                <w:bCs/>
                <w:szCs w:val="24"/>
              </w:rPr>
            </w:pPr>
            <w:r w:rsidRPr="00AE5CE6">
              <w:rPr>
                <w:rFonts w:cs="Times New Roman"/>
                <w:b/>
                <w:bCs/>
                <w:szCs w:val="24"/>
              </w:rPr>
              <w:t>4</w:t>
            </w:r>
          </w:p>
        </w:tc>
        <w:tc>
          <w:tcPr>
            <w:tcW w:w="214" w:type="pct"/>
            <w:tcBorders>
              <w:top w:val="nil"/>
              <w:left w:val="nil"/>
              <w:bottom w:val="single" w:sz="4" w:space="0" w:color="auto"/>
              <w:right w:val="single" w:sz="4" w:space="0" w:color="auto"/>
            </w:tcBorders>
            <w:shd w:val="clear" w:color="auto" w:fill="auto"/>
            <w:noWrap/>
            <w:vAlign w:val="center"/>
            <w:hideMark/>
          </w:tcPr>
          <w:p w:rsidR="004E5DE0" w:rsidRPr="00AE5CE6" w:rsidRDefault="004E5DE0" w:rsidP="00AB708C">
            <w:pPr>
              <w:jc w:val="center"/>
              <w:rPr>
                <w:rFonts w:cs="Times New Roman"/>
                <w:b/>
                <w:bCs/>
                <w:szCs w:val="24"/>
              </w:rPr>
            </w:pPr>
            <w:r w:rsidRPr="00AE5CE6">
              <w:rPr>
                <w:rFonts w:cs="Times New Roman"/>
                <w:b/>
                <w:bCs/>
                <w:szCs w:val="24"/>
              </w:rPr>
              <w:t>5</w:t>
            </w:r>
          </w:p>
        </w:tc>
        <w:tc>
          <w:tcPr>
            <w:tcW w:w="214" w:type="pct"/>
            <w:tcBorders>
              <w:top w:val="nil"/>
              <w:left w:val="nil"/>
              <w:bottom w:val="single" w:sz="4" w:space="0" w:color="auto"/>
              <w:right w:val="single" w:sz="4" w:space="0" w:color="auto"/>
            </w:tcBorders>
            <w:shd w:val="clear" w:color="auto" w:fill="auto"/>
            <w:noWrap/>
            <w:vAlign w:val="center"/>
            <w:hideMark/>
          </w:tcPr>
          <w:p w:rsidR="004E5DE0" w:rsidRPr="00AE5CE6" w:rsidRDefault="004E5DE0" w:rsidP="00AB708C">
            <w:pPr>
              <w:jc w:val="center"/>
              <w:rPr>
                <w:rFonts w:cs="Times New Roman"/>
                <w:b/>
                <w:bCs/>
                <w:szCs w:val="24"/>
              </w:rPr>
            </w:pPr>
            <w:r w:rsidRPr="00AE5CE6">
              <w:rPr>
                <w:rFonts w:cs="Times New Roman"/>
                <w:b/>
                <w:bCs/>
                <w:szCs w:val="24"/>
              </w:rPr>
              <w:t>6</w:t>
            </w:r>
          </w:p>
        </w:tc>
        <w:tc>
          <w:tcPr>
            <w:tcW w:w="214" w:type="pct"/>
            <w:tcBorders>
              <w:top w:val="nil"/>
              <w:left w:val="nil"/>
              <w:bottom w:val="single" w:sz="4" w:space="0" w:color="auto"/>
              <w:right w:val="single" w:sz="4" w:space="0" w:color="auto"/>
            </w:tcBorders>
            <w:shd w:val="clear" w:color="auto" w:fill="auto"/>
            <w:noWrap/>
            <w:vAlign w:val="center"/>
            <w:hideMark/>
          </w:tcPr>
          <w:p w:rsidR="004E5DE0" w:rsidRPr="00AE5CE6" w:rsidRDefault="004E5DE0" w:rsidP="00AB708C">
            <w:pPr>
              <w:jc w:val="center"/>
              <w:rPr>
                <w:rFonts w:cs="Times New Roman"/>
                <w:b/>
                <w:bCs/>
                <w:szCs w:val="24"/>
              </w:rPr>
            </w:pPr>
            <w:r w:rsidRPr="00AE5CE6">
              <w:rPr>
                <w:rFonts w:cs="Times New Roman"/>
                <w:b/>
                <w:bCs/>
                <w:szCs w:val="24"/>
              </w:rPr>
              <w:t>7</w:t>
            </w:r>
          </w:p>
        </w:tc>
        <w:tc>
          <w:tcPr>
            <w:tcW w:w="214" w:type="pct"/>
            <w:tcBorders>
              <w:top w:val="nil"/>
              <w:left w:val="nil"/>
              <w:bottom w:val="single" w:sz="4" w:space="0" w:color="auto"/>
              <w:right w:val="single" w:sz="4" w:space="0" w:color="auto"/>
            </w:tcBorders>
            <w:shd w:val="clear" w:color="auto" w:fill="auto"/>
            <w:noWrap/>
            <w:vAlign w:val="center"/>
            <w:hideMark/>
          </w:tcPr>
          <w:p w:rsidR="004E5DE0" w:rsidRPr="00AE5CE6" w:rsidRDefault="004E5DE0" w:rsidP="00AB708C">
            <w:pPr>
              <w:jc w:val="center"/>
              <w:rPr>
                <w:rFonts w:cs="Times New Roman"/>
                <w:b/>
                <w:bCs/>
                <w:szCs w:val="24"/>
              </w:rPr>
            </w:pPr>
            <w:r w:rsidRPr="00AE5CE6">
              <w:rPr>
                <w:rFonts w:cs="Times New Roman"/>
                <w:b/>
                <w:bCs/>
                <w:szCs w:val="24"/>
              </w:rPr>
              <w:t>8</w:t>
            </w:r>
          </w:p>
        </w:tc>
        <w:tc>
          <w:tcPr>
            <w:tcW w:w="243" w:type="pct"/>
            <w:tcBorders>
              <w:top w:val="nil"/>
              <w:left w:val="nil"/>
              <w:bottom w:val="single" w:sz="4" w:space="0" w:color="auto"/>
              <w:right w:val="single" w:sz="4" w:space="0" w:color="auto"/>
            </w:tcBorders>
            <w:shd w:val="clear" w:color="auto" w:fill="auto"/>
            <w:noWrap/>
            <w:vAlign w:val="center"/>
            <w:hideMark/>
          </w:tcPr>
          <w:p w:rsidR="004E5DE0" w:rsidRPr="00AE5CE6" w:rsidRDefault="004E5DE0" w:rsidP="00AB708C">
            <w:pPr>
              <w:jc w:val="center"/>
              <w:rPr>
                <w:rFonts w:cs="Times New Roman"/>
                <w:b/>
                <w:bCs/>
                <w:szCs w:val="24"/>
              </w:rPr>
            </w:pPr>
            <w:r w:rsidRPr="00AE5CE6">
              <w:rPr>
                <w:rFonts w:cs="Times New Roman"/>
                <w:b/>
                <w:bCs/>
                <w:szCs w:val="24"/>
              </w:rPr>
              <w:t>9</w:t>
            </w:r>
          </w:p>
        </w:tc>
        <w:tc>
          <w:tcPr>
            <w:tcW w:w="322" w:type="pct"/>
            <w:tcBorders>
              <w:top w:val="nil"/>
              <w:left w:val="nil"/>
              <w:bottom w:val="single" w:sz="4" w:space="0" w:color="auto"/>
              <w:right w:val="single" w:sz="4" w:space="0" w:color="auto"/>
            </w:tcBorders>
            <w:shd w:val="clear" w:color="auto" w:fill="auto"/>
            <w:noWrap/>
            <w:vAlign w:val="center"/>
            <w:hideMark/>
          </w:tcPr>
          <w:p w:rsidR="004E5DE0" w:rsidRPr="00AE5CE6" w:rsidRDefault="004E5DE0" w:rsidP="00AB708C">
            <w:pPr>
              <w:jc w:val="center"/>
              <w:rPr>
                <w:rFonts w:cs="Times New Roman"/>
                <w:b/>
                <w:bCs/>
                <w:szCs w:val="24"/>
              </w:rPr>
            </w:pPr>
            <w:r w:rsidRPr="00AE5CE6">
              <w:rPr>
                <w:rFonts w:cs="Times New Roman"/>
                <w:b/>
                <w:bCs/>
                <w:szCs w:val="24"/>
              </w:rPr>
              <w:t>10</w:t>
            </w:r>
          </w:p>
        </w:tc>
        <w:tc>
          <w:tcPr>
            <w:tcW w:w="290" w:type="pct"/>
            <w:tcBorders>
              <w:top w:val="nil"/>
              <w:left w:val="nil"/>
              <w:bottom w:val="single" w:sz="4" w:space="0" w:color="auto"/>
              <w:right w:val="single" w:sz="4" w:space="0" w:color="auto"/>
            </w:tcBorders>
            <w:shd w:val="clear" w:color="auto" w:fill="auto"/>
            <w:noWrap/>
            <w:vAlign w:val="center"/>
            <w:hideMark/>
          </w:tcPr>
          <w:p w:rsidR="004E5DE0" w:rsidRPr="00AE5CE6" w:rsidRDefault="004E5DE0" w:rsidP="00AB708C">
            <w:pPr>
              <w:jc w:val="center"/>
              <w:rPr>
                <w:rFonts w:cs="Times New Roman"/>
                <w:b/>
                <w:bCs/>
                <w:szCs w:val="24"/>
              </w:rPr>
            </w:pPr>
            <w:r w:rsidRPr="00AE5CE6">
              <w:rPr>
                <w:rFonts w:cs="Times New Roman"/>
                <w:b/>
                <w:bCs/>
                <w:szCs w:val="24"/>
              </w:rPr>
              <w:t>11</w:t>
            </w:r>
          </w:p>
        </w:tc>
        <w:tc>
          <w:tcPr>
            <w:tcW w:w="317" w:type="pct"/>
            <w:tcBorders>
              <w:top w:val="nil"/>
              <w:left w:val="nil"/>
              <w:bottom w:val="single" w:sz="4" w:space="0" w:color="auto"/>
              <w:right w:val="single" w:sz="4" w:space="0" w:color="auto"/>
            </w:tcBorders>
            <w:shd w:val="clear" w:color="auto" w:fill="auto"/>
            <w:noWrap/>
            <w:vAlign w:val="center"/>
            <w:hideMark/>
          </w:tcPr>
          <w:p w:rsidR="004E5DE0" w:rsidRPr="00AE5CE6" w:rsidRDefault="004E5DE0" w:rsidP="00AB708C">
            <w:pPr>
              <w:jc w:val="center"/>
              <w:rPr>
                <w:rFonts w:cs="Times New Roman"/>
                <w:b/>
                <w:bCs/>
                <w:szCs w:val="24"/>
              </w:rPr>
            </w:pPr>
            <w:r w:rsidRPr="00AE5CE6">
              <w:rPr>
                <w:rFonts w:cs="Times New Roman"/>
                <w:b/>
                <w:bCs/>
                <w:szCs w:val="24"/>
              </w:rPr>
              <w:t>12</w:t>
            </w:r>
          </w:p>
        </w:tc>
      </w:tr>
      <w:tr w:rsidR="004E5DE0" w:rsidRPr="00AE5CE6" w:rsidTr="00AB708C">
        <w:trPr>
          <w:trHeight w:val="435"/>
          <w:jc w:val="center"/>
        </w:trPr>
        <w:tc>
          <w:tcPr>
            <w:tcW w:w="2117" w:type="pct"/>
            <w:tcBorders>
              <w:top w:val="nil"/>
              <w:left w:val="single" w:sz="4" w:space="0" w:color="auto"/>
              <w:bottom w:val="single" w:sz="4" w:space="0" w:color="auto"/>
              <w:right w:val="nil"/>
            </w:tcBorders>
            <w:shd w:val="clear" w:color="auto" w:fill="auto"/>
            <w:noWrap/>
            <w:vAlign w:val="center"/>
            <w:hideMark/>
          </w:tcPr>
          <w:p w:rsidR="004E5DE0" w:rsidRPr="00AE5CE6" w:rsidRDefault="004E5DE0" w:rsidP="00AB708C">
            <w:pPr>
              <w:spacing w:line="240" w:lineRule="auto"/>
              <w:jc w:val="center"/>
              <w:rPr>
                <w:rFonts w:cs="Times New Roman"/>
                <w:szCs w:val="24"/>
              </w:rPr>
            </w:pPr>
            <w:r w:rsidRPr="00AE5CE6">
              <w:rPr>
                <w:rFonts w:cs="Times New Roman"/>
                <w:szCs w:val="24"/>
              </w:rPr>
              <w:t>Revisión y análisis bibliográficos</w:t>
            </w:r>
          </w:p>
        </w:tc>
        <w:tc>
          <w:tcPr>
            <w:tcW w:w="213" w:type="pct"/>
            <w:tcBorders>
              <w:top w:val="nil"/>
              <w:left w:val="single" w:sz="4" w:space="0" w:color="auto"/>
              <w:bottom w:val="single" w:sz="4" w:space="0" w:color="auto"/>
              <w:right w:val="single" w:sz="4" w:space="0" w:color="auto"/>
            </w:tcBorders>
            <w:shd w:val="clear" w:color="000000" w:fill="92D050"/>
            <w:noWrap/>
            <w:vAlign w:val="center"/>
            <w:hideMark/>
          </w:tcPr>
          <w:p w:rsidR="004E5DE0" w:rsidRPr="00AE5CE6" w:rsidRDefault="004E5DE0" w:rsidP="00AB708C">
            <w:pPr>
              <w:spacing w:line="240" w:lineRule="auto"/>
              <w:jc w:val="center"/>
              <w:rPr>
                <w:rFonts w:cs="Times New Roman"/>
                <w:szCs w:val="24"/>
              </w:rPr>
            </w:pPr>
          </w:p>
        </w:tc>
        <w:tc>
          <w:tcPr>
            <w:tcW w:w="213" w:type="pct"/>
            <w:tcBorders>
              <w:top w:val="nil"/>
              <w:left w:val="nil"/>
              <w:bottom w:val="single" w:sz="4" w:space="0" w:color="auto"/>
              <w:right w:val="single" w:sz="4" w:space="0" w:color="auto"/>
            </w:tcBorders>
            <w:shd w:val="clear" w:color="000000" w:fill="92D050"/>
            <w:noWrap/>
            <w:vAlign w:val="center"/>
            <w:hideMark/>
          </w:tcPr>
          <w:p w:rsidR="004E5DE0" w:rsidRPr="00AE5CE6" w:rsidRDefault="004E5DE0" w:rsidP="00AB708C">
            <w:pPr>
              <w:spacing w:line="240" w:lineRule="auto"/>
              <w:jc w:val="center"/>
              <w:rPr>
                <w:rFonts w:cs="Times New Roman"/>
                <w:szCs w:val="24"/>
              </w:rPr>
            </w:pPr>
          </w:p>
        </w:tc>
        <w:tc>
          <w:tcPr>
            <w:tcW w:w="214" w:type="pct"/>
            <w:tcBorders>
              <w:top w:val="nil"/>
              <w:left w:val="nil"/>
              <w:bottom w:val="single" w:sz="4" w:space="0" w:color="auto"/>
              <w:right w:val="single" w:sz="4" w:space="0" w:color="auto"/>
            </w:tcBorders>
            <w:shd w:val="clear" w:color="000000" w:fill="92D050"/>
            <w:noWrap/>
            <w:vAlign w:val="center"/>
            <w:hideMark/>
          </w:tcPr>
          <w:p w:rsidR="004E5DE0" w:rsidRPr="00AE5CE6" w:rsidRDefault="004E5DE0" w:rsidP="00AB708C">
            <w:pPr>
              <w:spacing w:line="240" w:lineRule="auto"/>
              <w:jc w:val="center"/>
              <w:rPr>
                <w:rFonts w:cs="Times New Roman"/>
                <w:szCs w:val="24"/>
              </w:rPr>
            </w:pPr>
          </w:p>
        </w:tc>
        <w:tc>
          <w:tcPr>
            <w:tcW w:w="214" w:type="pct"/>
            <w:tcBorders>
              <w:top w:val="nil"/>
              <w:left w:val="nil"/>
              <w:bottom w:val="single" w:sz="4" w:space="0" w:color="auto"/>
              <w:right w:val="single" w:sz="4" w:space="0" w:color="auto"/>
            </w:tcBorders>
            <w:shd w:val="clear" w:color="auto" w:fill="auto"/>
            <w:noWrap/>
            <w:vAlign w:val="center"/>
            <w:hideMark/>
          </w:tcPr>
          <w:p w:rsidR="004E5DE0" w:rsidRPr="00AE5CE6" w:rsidRDefault="004E5DE0" w:rsidP="00AB708C">
            <w:pPr>
              <w:spacing w:line="240" w:lineRule="auto"/>
              <w:jc w:val="center"/>
              <w:rPr>
                <w:rFonts w:cs="Times New Roman"/>
                <w:szCs w:val="24"/>
              </w:rPr>
            </w:pPr>
          </w:p>
        </w:tc>
        <w:tc>
          <w:tcPr>
            <w:tcW w:w="214" w:type="pct"/>
            <w:tcBorders>
              <w:top w:val="nil"/>
              <w:left w:val="nil"/>
              <w:bottom w:val="single" w:sz="4" w:space="0" w:color="auto"/>
              <w:right w:val="single" w:sz="4" w:space="0" w:color="auto"/>
            </w:tcBorders>
            <w:shd w:val="clear" w:color="auto" w:fill="auto"/>
            <w:noWrap/>
            <w:vAlign w:val="center"/>
            <w:hideMark/>
          </w:tcPr>
          <w:p w:rsidR="004E5DE0" w:rsidRPr="00AE5CE6" w:rsidRDefault="004E5DE0" w:rsidP="00AB708C">
            <w:pPr>
              <w:spacing w:line="240" w:lineRule="auto"/>
              <w:jc w:val="center"/>
              <w:rPr>
                <w:rFonts w:cs="Times New Roman"/>
                <w:szCs w:val="24"/>
              </w:rPr>
            </w:pPr>
          </w:p>
        </w:tc>
        <w:tc>
          <w:tcPr>
            <w:tcW w:w="214" w:type="pct"/>
            <w:tcBorders>
              <w:top w:val="nil"/>
              <w:left w:val="nil"/>
              <w:bottom w:val="single" w:sz="4" w:space="0" w:color="auto"/>
              <w:right w:val="single" w:sz="4" w:space="0" w:color="auto"/>
            </w:tcBorders>
            <w:shd w:val="clear" w:color="auto" w:fill="auto"/>
            <w:noWrap/>
            <w:vAlign w:val="center"/>
            <w:hideMark/>
          </w:tcPr>
          <w:p w:rsidR="004E5DE0" w:rsidRPr="00AE5CE6" w:rsidRDefault="004E5DE0" w:rsidP="00AB708C">
            <w:pPr>
              <w:spacing w:line="240" w:lineRule="auto"/>
              <w:jc w:val="center"/>
              <w:rPr>
                <w:rFonts w:cs="Times New Roman"/>
                <w:szCs w:val="24"/>
              </w:rPr>
            </w:pPr>
          </w:p>
        </w:tc>
        <w:tc>
          <w:tcPr>
            <w:tcW w:w="214" w:type="pct"/>
            <w:tcBorders>
              <w:top w:val="nil"/>
              <w:left w:val="nil"/>
              <w:bottom w:val="single" w:sz="4" w:space="0" w:color="auto"/>
              <w:right w:val="single" w:sz="4" w:space="0" w:color="auto"/>
            </w:tcBorders>
            <w:shd w:val="clear" w:color="auto" w:fill="auto"/>
            <w:noWrap/>
            <w:vAlign w:val="center"/>
            <w:hideMark/>
          </w:tcPr>
          <w:p w:rsidR="004E5DE0" w:rsidRPr="00AE5CE6" w:rsidRDefault="004E5DE0" w:rsidP="00AB708C">
            <w:pPr>
              <w:spacing w:line="240" w:lineRule="auto"/>
              <w:jc w:val="center"/>
              <w:rPr>
                <w:rFonts w:cs="Times New Roman"/>
                <w:szCs w:val="24"/>
              </w:rPr>
            </w:pPr>
          </w:p>
        </w:tc>
        <w:tc>
          <w:tcPr>
            <w:tcW w:w="214" w:type="pct"/>
            <w:tcBorders>
              <w:top w:val="nil"/>
              <w:left w:val="nil"/>
              <w:bottom w:val="single" w:sz="4" w:space="0" w:color="auto"/>
              <w:right w:val="single" w:sz="4" w:space="0" w:color="auto"/>
            </w:tcBorders>
            <w:shd w:val="clear" w:color="auto" w:fill="auto"/>
            <w:noWrap/>
            <w:vAlign w:val="center"/>
            <w:hideMark/>
          </w:tcPr>
          <w:p w:rsidR="004E5DE0" w:rsidRPr="00AE5CE6" w:rsidRDefault="004E5DE0" w:rsidP="00AB708C">
            <w:pPr>
              <w:spacing w:line="240" w:lineRule="auto"/>
              <w:jc w:val="center"/>
              <w:rPr>
                <w:rFonts w:cs="Times New Roman"/>
                <w:szCs w:val="24"/>
              </w:rPr>
            </w:pPr>
          </w:p>
        </w:tc>
        <w:tc>
          <w:tcPr>
            <w:tcW w:w="243" w:type="pct"/>
            <w:tcBorders>
              <w:top w:val="nil"/>
              <w:left w:val="nil"/>
              <w:bottom w:val="single" w:sz="4" w:space="0" w:color="auto"/>
              <w:right w:val="single" w:sz="4" w:space="0" w:color="auto"/>
            </w:tcBorders>
            <w:shd w:val="clear" w:color="auto" w:fill="auto"/>
            <w:noWrap/>
            <w:vAlign w:val="center"/>
            <w:hideMark/>
          </w:tcPr>
          <w:p w:rsidR="004E5DE0" w:rsidRPr="00AE5CE6" w:rsidRDefault="004E5DE0" w:rsidP="00AB708C">
            <w:pPr>
              <w:spacing w:line="240" w:lineRule="auto"/>
              <w:jc w:val="center"/>
              <w:rPr>
                <w:rFonts w:cs="Times New Roman"/>
                <w:szCs w:val="24"/>
              </w:rPr>
            </w:pPr>
          </w:p>
        </w:tc>
        <w:tc>
          <w:tcPr>
            <w:tcW w:w="322" w:type="pct"/>
            <w:tcBorders>
              <w:top w:val="nil"/>
              <w:left w:val="nil"/>
              <w:bottom w:val="single" w:sz="4" w:space="0" w:color="auto"/>
              <w:right w:val="single" w:sz="4" w:space="0" w:color="auto"/>
            </w:tcBorders>
            <w:shd w:val="clear" w:color="auto" w:fill="auto"/>
            <w:noWrap/>
            <w:vAlign w:val="center"/>
            <w:hideMark/>
          </w:tcPr>
          <w:p w:rsidR="004E5DE0" w:rsidRPr="00AE5CE6" w:rsidRDefault="004E5DE0" w:rsidP="00AB708C">
            <w:pPr>
              <w:spacing w:line="240" w:lineRule="auto"/>
              <w:jc w:val="center"/>
              <w:rPr>
                <w:rFonts w:cs="Times New Roman"/>
                <w:szCs w:val="24"/>
              </w:rPr>
            </w:pPr>
          </w:p>
        </w:tc>
        <w:tc>
          <w:tcPr>
            <w:tcW w:w="290" w:type="pct"/>
            <w:tcBorders>
              <w:top w:val="nil"/>
              <w:left w:val="nil"/>
              <w:bottom w:val="single" w:sz="4" w:space="0" w:color="auto"/>
              <w:right w:val="single" w:sz="4" w:space="0" w:color="auto"/>
            </w:tcBorders>
            <w:shd w:val="clear" w:color="auto" w:fill="auto"/>
            <w:noWrap/>
            <w:vAlign w:val="center"/>
            <w:hideMark/>
          </w:tcPr>
          <w:p w:rsidR="004E5DE0" w:rsidRPr="00AE5CE6" w:rsidRDefault="004E5DE0" w:rsidP="00AB708C">
            <w:pPr>
              <w:spacing w:line="240" w:lineRule="auto"/>
              <w:jc w:val="center"/>
              <w:rPr>
                <w:rFonts w:cs="Times New Roman"/>
                <w:szCs w:val="24"/>
              </w:rPr>
            </w:pPr>
          </w:p>
        </w:tc>
        <w:tc>
          <w:tcPr>
            <w:tcW w:w="317" w:type="pct"/>
            <w:tcBorders>
              <w:top w:val="nil"/>
              <w:left w:val="nil"/>
              <w:bottom w:val="single" w:sz="4" w:space="0" w:color="auto"/>
              <w:right w:val="single" w:sz="4" w:space="0" w:color="auto"/>
            </w:tcBorders>
            <w:shd w:val="clear" w:color="auto" w:fill="auto"/>
            <w:noWrap/>
            <w:vAlign w:val="center"/>
            <w:hideMark/>
          </w:tcPr>
          <w:p w:rsidR="004E5DE0" w:rsidRPr="00AE5CE6" w:rsidRDefault="004E5DE0" w:rsidP="00AB708C">
            <w:pPr>
              <w:spacing w:line="240" w:lineRule="auto"/>
              <w:jc w:val="center"/>
              <w:rPr>
                <w:rFonts w:cs="Times New Roman"/>
                <w:szCs w:val="24"/>
              </w:rPr>
            </w:pPr>
          </w:p>
        </w:tc>
      </w:tr>
      <w:tr w:rsidR="004E5DE0" w:rsidRPr="00AE5CE6" w:rsidTr="00AB708C">
        <w:trPr>
          <w:trHeight w:val="435"/>
          <w:jc w:val="center"/>
        </w:trPr>
        <w:tc>
          <w:tcPr>
            <w:tcW w:w="2117" w:type="pct"/>
            <w:tcBorders>
              <w:top w:val="nil"/>
              <w:left w:val="single" w:sz="4" w:space="0" w:color="auto"/>
              <w:bottom w:val="single" w:sz="4" w:space="0" w:color="auto"/>
              <w:right w:val="nil"/>
            </w:tcBorders>
            <w:shd w:val="clear" w:color="auto" w:fill="auto"/>
            <w:noWrap/>
            <w:vAlign w:val="center"/>
            <w:hideMark/>
          </w:tcPr>
          <w:p w:rsidR="004E5DE0" w:rsidRPr="00AE5CE6" w:rsidRDefault="004E5DE0" w:rsidP="00AB708C">
            <w:pPr>
              <w:spacing w:line="240" w:lineRule="auto"/>
              <w:jc w:val="center"/>
              <w:rPr>
                <w:rFonts w:cs="Times New Roman"/>
                <w:szCs w:val="24"/>
              </w:rPr>
            </w:pPr>
            <w:r w:rsidRPr="00AE5CE6">
              <w:rPr>
                <w:rFonts w:cs="Times New Roman"/>
                <w:szCs w:val="24"/>
              </w:rPr>
              <w:t>Estimación de pérdidas esperadas</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4E5DE0" w:rsidRPr="00AE5CE6" w:rsidRDefault="004E5DE0" w:rsidP="00AB708C">
            <w:pPr>
              <w:spacing w:line="240" w:lineRule="auto"/>
              <w:jc w:val="center"/>
              <w:rPr>
                <w:rFonts w:cs="Times New Roman"/>
                <w:szCs w:val="24"/>
              </w:rPr>
            </w:pPr>
          </w:p>
        </w:tc>
        <w:tc>
          <w:tcPr>
            <w:tcW w:w="213" w:type="pct"/>
            <w:tcBorders>
              <w:top w:val="nil"/>
              <w:left w:val="nil"/>
              <w:bottom w:val="single" w:sz="4" w:space="0" w:color="auto"/>
              <w:right w:val="single" w:sz="4" w:space="0" w:color="auto"/>
            </w:tcBorders>
            <w:shd w:val="clear" w:color="auto" w:fill="auto"/>
            <w:noWrap/>
            <w:vAlign w:val="center"/>
            <w:hideMark/>
          </w:tcPr>
          <w:p w:rsidR="004E5DE0" w:rsidRPr="00AE5CE6" w:rsidRDefault="004E5DE0" w:rsidP="00AB708C">
            <w:pPr>
              <w:spacing w:line="240" w:lineRule="auto"/>
              <w:jc w:val="center"/>
              <w:rPr>
                <w:rFonts w:cs="Times New Roman"/>
                <w:szCs w:val="24"/>
              </w:rPr>
            </w:pPr>
          </w:p>
        </w:tc>
        <w:tc>
          <w:tcPr>
            <w:tcW w:w="214" w:type="pct"/>
            <w:tcBorders>
              <w:top w:val="nil"/>
              <w:left w:val="nil"/>
              <w:bottom w:val="single" w:sz="4" w:space="0" w:color="auto"/>
              <w:right w:val="single" w:sz="4" w:space="0" w:color="auto"/>
            </w:tcBorders>
            <w:shd w:val="clear" w:color="000000" w:fill="92D050"/>
            <w:noWrap/>
            <w:vAlign w:val="center"/>
            <w:hideMark/>
          </w:tcPr>
          <w:p w:rsidR="004E5DE0" w:rsidRPr="00AE5CE6" w:rsidRDefault="004E5DE0" w:rsidP="00AB708C">
            <w:pPr>
              <w:spacing w:line="240" w:lineRule="auto"/>
              <w:jc w:val="center"/>
              <w:rPr>
                <w:rFonts w:cs="Times New Roman"/>
                <w:szCs w:val="24"/>
              </w:rPr>
            </w:pPr>
          </w:p>
        </w:tc>
        <w:tc>
          <w:tcPr>
            <w:tcW w:w="214" w:type="pct"/>
            <w:tcBorders>
              <w:top w:val="nil"/>
              <w:left w:val="nil"/>
              <w:bottom w:val="single" w:sz="4" w:space="0" w:color="auto"/>
              <w:right w:val="single" w:sz="4" w:space="0" w:color="auto"/>
            </w:tcBorders>
            <w:shd w:val="clear" w:color="000000" w:fill="92D050"/>
            <w:noWrap/>
            <w:vAlign w:val="center"/>
            <w:hideMark/>
          </w:tcPr>
          <w:p w:rsidR="004E5DE0" w:rsidRPr="00AE5CE6" w:rsidRDefault="004E5DE0" w:rsidP="00AB708C">
            <w:pPr>
              <w:spacing w:line="240" w:lineRule="auto"/>
              <w:jc w:val="center"/>
              <w:rPr>
                <w:rFonts w:cs="Times New Roman"/>
                <w:szCs w:val="24"/>
              </w:rPr>
            </w:pPr>
          </w:p>
        </w:tc>
        <w:tc>
          <w:tcPr>
            <w:tcW w:w="214" w:type="pct"/>
            <w:tcBorders>
              <w:top w:val="nil"/>
              <w:left w:val="nil"/>
              <w:bottom w:val="single" w:sz="4" w:space="0" w:color="auto"/>
              <w:right w:val="single" w:sz="4" w:space="0" w:color="auto"/>
            </w:tcBorders>
            <w:shd w:val="clear" w:color="auto" w:fill="92D050"/>
            <w:noWrap/>
            <w:vAlign w:val="center"/>
            <w:hideMark/>
          </w:tcPr>
          <w:p w:rsidR="004E5DE0" w:rsidRPr="00AE5CE6" w:rsidRDefault="004E5DE0" w:rsidP="00AB708C">
            <w:pPr>
              <w:spacing w:line="240" w:lineRule="auto"/>
              <w:jc w:val="center"/>
              <w:rPr>
                <w:rFonts w:cs="Times New Roman"/>
                <w:szCs w:val="24"/>
              </w:rPr>
            </w:pPr>
          </w:p>
        </w:tc>
        <w:tc>
          <w:tcPr>
            <w:tcW w:w="214" w:type="pct"/>
            <w:tcBorders>
              <w:top w:val="nil"/>
              <w:left w:val="nil"/>
              <w:bottom w:val="single" w:sz="4" w:space="0" w:color="auto"/>
              <w:right w:val="single" w:sz="4" w:space="0" w:color="auto"/>
            </w:tcBorders>
            <w:shd w:val="clear" w:color="auto" w:fill="92D050"/>
            <w:noWrap/>
            <w:vAlign w:val="center"/>
            <w:hideMark/>
          </w:tcPr>
          <w:p w:rsidR="004E5DE0" w:rsidRPr="00AE5CE6" w:rsidRDefault="004E5DE0" w:rsidP="00AB708C">
            <w:pPr>
              <w:spacing w:line="240" w:lineRule="auto"/>
              <w:jc w:val="center"/>
              <w:rPr>
                <w:rFonts w:cs="Times New Roman"/>
                <w:szCs w:val="24"/>
              </w:rPr>
            </w:pPr>
          </w:p>
        </w:tc>
        <w:tc>
          <w:tcPr>
            <w:tcW w:w="214" w:type="pct"/>
            <w:tcBorders>
              <w:top w:val="nil"/>
              <w:left w:val="nil"/>
              <w:bottom w:val="single" w:sz="4" w:space="0" w:color="auto"/>
              <w:right w:val="single" w:sz="4" w:space="0" w:color="auto"/>
            </w:tcBorders>
            <w:shd w:val="clear" w:color="auto" w:fill="auto"/>
            <w:noWrap/>
            <w:vAlign w:val="center"/>
            <w:hideMark/>
          </w:tcPr>
          <w:p w:rsidR="004E5DE0" w:rsidRPr="00AE5CE6" w:rsidRDefault="004E5DE0" w:rsidP="00AB708C">
            <w:pPr>
              <w:spacing w:line="240" w:lineRule="auto"/>
              <w:jc w:val="center"/>
              <w:rPr>
                <w:rFonts w:cs="Times New Roman"/>
                <w:szCs w:val="24"/>
              </w:rPr>
            </w:pPr>
          </w:p>
        </w:tc>
        <w:tc>
          <w:tcPr>
            <w:tcW w:w="214" w:type="pct"/>
            <w:tcBorders>
              <w:top w:val="nil"/>
              <w:left w:val="nil"/>
              <w:bottom w:val="single" w:sz="4" w:space="0" w:color="auto"/>
              <w:right w:val="single" w:sz="4" w:space="0" w:color="auto"/>
            </w:tcBorders>
            <w:shd w:val="clear" w:color="auto" w:fill="auto"/>
            <w:noWrap/>
            <w:vAlign w:val="center"/>
            <w:hideMark/>
          </w:tcPr>
          <w:p w:rsidR="004E5DE0" w:rsidRPr="00AE5CE6" w:rsidRDefault="004E5DE0" w:rsidP="00AB708C">
            <w:pPr>
              <w:spacing w:line="240" w:lineRule="auto"/>
              <w:jc w:val="center"/>
              <w:rPr>
                <w:rFonts w:cs="Times New Roman"/>
                <w:szCs w:val="24"/>
              </w:rPr>
            </w:pPr>
          </w:p>
        </w:tc>
        <w:tc>
          <w:tcPr>
            <w:tcW w:w="243" w:type="pct"/>
            <w:tcBorders>
              <w:top w:val="nil"/>
              <w:left w:val="nil"/>
              <w:bottom w:val="single" w:sz="4" w:space="0" w:color="auto"/>
              <w:right w:val="single" w:sz="4" w:space="0" w:color="auto"/>
            </w:tcBorders>
            <w:shd w:val="clear" w:color="auto" w:fill="auto"/>
            <w:noWrap/>
            <w:vAlign w:val="center"/>
            <w:hideMark/>
          </w:tcPr>
          <w:p w:rsidR="004E5DE0" w:rsidRPr="00AE5CE6" w:rsidRDefault="004E5DE0" w:rsidP="00AB708C">
            <w:pPr>
              <w:spacing w:line="240" w:lineRule="auto"/>
              <w:jc w:val="center"/>
              <w:rPr>
                <w:rFonts w:cs="Times New Roman"/>
                <w:szCs w:val="24"/>
              </w:rPr>
            </w:pPr>
          </w:p>
        </w:tc>
        <w:tc>
          <w:tcPr>
            <w:tcW w:w="322" w:type="pct"/>
            <w:tcBorders>
              <w:top w:val="nil"/>
              <w:left w:val="nil"/>
              <w:bottom w:val="single" w:sz="4" w:space="0" w:color="auto"/>
              <w:right w:val="single" w:sz="4" w:space="0" w:color="auto"/>
            </w:tcBorders>
            <w:shd w:val="clear" w:color="auto" w:fill="auto"/>
            <w:noWrap/>
            <w:vAlign w:val="center"/>
            <w:hideMark/>
          </w:tcPr>
          <w:p w:rsidR="004E5DE0" w:rsidRPr="00AE5CE6" w:rsidRDefault="004E5DE0" w:rsidP="00AB708C">
            <w:pPr>
              <w:spacing w:line="240" w:lineRule="auto"/>
              <w:jc w:val="center"/>
              <w:rPr>
                <w:rFonts w:cs="Times New Roman"/>
                <w:szCs w:val="24"/>
              </w:rPr>
            </w:pPr>
          </w:p>
        </w:tc>
        <w:tc>
          <w:tcPr>
            <w:tcW w:w="290" w:type="pct"/>
            <w:tcBorders>
              <w:top w:val="nil"/>
              <w:left w:val="nil"/>
              <w:bottom w:val="single" w:sz="4" w:space="0" w:color="auto"/>
              <w:right w:val="single" w:sz="4" w:space="0" w:color="auto"/>
            </w:tcBorders>
            <w:shd w:val="clear" w:color="auto" w:fill="auto"/>
            <w:noWrap/>
            <w:vAlign w:val="center"/>
            <w:hideMark/>
          </w:tcPr>
          <w:p w:rsidR="004E5DE0" w:rsidRPr="00AE5CE6" w:rsidRDefault="004E5DE0" w:rsidP="00AB708C">
            <w:pPr>
              <w:spacing w:line="240" w:lineRule="auto"/>
              <w:jc w:val="center"/>
              <w:rPr>
                <w:rFonts w:cs="Times New Roman"/>
                <w:szCs w:val="24"/>
              </w:rPr>
            </w:pPr>
          </w:p>
        </w:tc>
        <w:tc>
          <w:tcPr>
            <w:tcW w:w="317" w:type="pct"/>
            <w:tcBorders>
              <w:top w:val="nil"/>
              <w:left w:val="nil"/>
              <w:bottom w:val="single" w:sz="4" w:space="0" w:color="auto"/>
              <w:right w:val="single" w:sz="4" w:space="0" w:color="auto"/>
            </w:tcBorders>
            <w:shd w:val="clear" w:color="auto" w:fill="auto"/>
            <w:noWrap/>
            <w:vAlign w:val="center"/>
            <w:hideMark/>
          </w:tcPr>
          <w:p w:rsidR="004E5DE0" w:rsidRPr="00AE5CE6" w:rsidRDefault="004E5DE0" w:rsidP="00AB708C">
            <w:pPr>
              <w:spacing w:line="240" w:lineRule="auto"/>
              <w:jc w:val="center"/>
              <w:rPr>
                <w:rFonts w:cs="Times New Roman"/>
                <w:szCs w:val="24"/>
              </w:rPr>
            </w:pPr>
          </w:p>
        </w:tc>
      </w:tr>
      <w:tr w:rsidR="004E5DE0" w:rsidRPr="00AE5CE6" w:rsidTr="00AB708C">
        <w:trPr>
          <w:trHeight w:val="435"/>
          <w:jc w:val="center"/>
        </w:trPr>
        <w:tc>
          <w:tcPr>
            <w:tcW w:w="2117" w:type="pct"/>
            <w:tcBorders>
              <w:top w:val="nil"/>
              <w:left w:val="single" w:sz="4" w:space="0" w:color="auto"/>
              <w:bottom w:val="single" w:sz="4" w:space="0" w:color="auto"/>
              <w:right w:val="nil"/>
            </w:tcBorders>
            <w:shd w:val="clear" w:color="auto" w:fill="auto"/>
            <w:noWrap/>
            <w:vAlign w:val="center"/>
            <w:hideMark/>
          </w:tcPr>
          <w:p w:rsidR="004E5DE0" w:rsidRPr="00AE5CE6" w:rsidRDefault="004E5DE0" w:rsidP="00AB708C">
            <w:pPr>
              <w:spacing w:line="240" w:lineRule="auto"/>
              <w:jc w:val="center"/>
              <w:rPr>
                <w:rFonts w:cs="Times New Roman"/>
                <w:szCs w:val="24"/>
              </w:rPr>
            </w:pPr>
            <w:r w:rsidRPr="00AE5CE6">
              <w:rPr>
                <w:rFonts w:cs="Times New Roman"/>
                <w:szCs w:val="24"/>
              </w:rPr>
              <w:t>Redacción del trabajo monográfico</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4E5DE0" w:rsidRPr="00AE5CE6" w:rsidRDefault="004E5DE0" w:rsidP="00AB708C">
            <w:pPr>
              <w:spacing w:line="240" w:lineRule="auto"/>
              <w:jc w:val="center"/>
              <w:rPr>
                <w:rFonts w:cs="Times New Roman"/>
                <w:szCs w:val="24"/>
              </w:rPr>
            </w:pPr>
          </w:p>
        </w:tc>
        <w:tc>
          <w:tcPr>
            <w:tcW w:w="213" w:type="pct"/>
            <w:tcBorders>
              <w:top w:val="nil"/>
              <w:left w:val="nil"/>
              <w:bottom w:val="single" w:sz="4" w:space="0" w:color="auto"/>
              <w:right w:val="single" w:sz="4" w:space="0" w:color="auto"/>
            </w:tcBorders>
            <w:shd w:val="clear" w:color="auto" w:fill="auto"/>
            <w:noWrap/>
            <w:vAlign w:val="center"/>
            <w:hideMark/>
          </w:tcPr>
          <w:p w:rsidR="004E5DE0" w:rsidRPr="00AE5CE6" w:rsidRDefault="004E5DE0" w:rsidP="00AB708C">
            <w:pPr>
              <w:spacing w:line="240" w:lineRule="auto"/>
              <w:jc w:val="center"/>
              <w:rPr>
                <w:rFonts w:cs="Times New Roman"/>
                <w:szCs w:val="24"/>
              </w:rPr>
            </w:pPr>
          </w:p>
        </w:tc>
        <w:tc>
          <w:tcPr>
            <w:tcW w:w="214" w:type="pct"/>
            <w:tcBorders>
              <w:top w:val="nil"/>
              <w:left w:val="nil"/>
              <w:bottom w:val="single" w:sz="4" w:space="0" w:color="auto"/>
              <w:right w:val="single" w:sz="4" w:space="0" w:color="auto"/>
            </w:tcBorders>
            <w:shd w:val="clear" w:color="auto" w:fill="auto"/>
            <w:noWrap/>
            <w:vAlign w:val="center"/>
            <w:hideMark/>
          </w:tcPr>
          <w:p w:rsidR="004E5DE0" w:rsidRPr="00AE5CE6" w:rsidRDefault="004E5DE0" w:rsidP="00AB708C">
            <w:pPr>
              <w:spacing w:line="240" w:lineRule="auto"/>
              <w:jc w:val="center"/>
              <w:rPr>
                <w:rFonts w:cs="Times New Roman"/>
                <w:szCs w:val="24"/>
              </w:rPr>
            </w:pPr>
          </w:p>
        </w:tc>
        <w:tc>
          <w:tcPr>
            <w:tcW w:w="214" w:type="pct"/>
            <w:tcBorders>
              <w:top w:val="nil"/>
              <w:left w:val="nil"/>
              <w:bottom w:val="single" w:sz="4" w:space="0" w:color="auto"/>
              <w:right w:val="single" w:sz="4" w:space="0" w:color="auto"/>
            </w:tcBorders>
            <w:shd w:val="clear" w:color="auto" w:fill="auto"/>
            <w:noWrap/>
            <w:vAlign w:val="center"/>
            <w:hideMark/>
          </w:tcPr>
          <w:p w:rsidR="004E5DE0" w:rsidRPr="00AE5CE6" w:rsidRDefault="004E5DE0" w:rsidP="00AB708C">
            <w:pPr>
              <w:spacing w:line="240" w:lineRule="auto"/>
              <w:jc w:val="center"/>
              <w:rPr>
                <w:rFonts w:cs="Times New Roman"/>
                <w:szCs w:val="24"/>
              </w:rPr>
            </w:pPr>
          </w:p>
        </w:tc>
        <w:tc>
          <w:tcPr>
            <w:tcW w:w="214" w:type="pct"/>
            <w:tcBorders>
              <w:top w:val="nil"/>
              <w:left w:val="nil"/>
              <w:bottom w:val="single" w:sz="4" w:space="0" w:color="auto"/>
              <w:right w:val="single" w:sz="4" w:space="0" w:color="auto"/>
            </w:tcBorders>
            <w:shd w:val="clear" w:color="000000" w:fill="92D050"/>
            <w:noWrap/>
            <w:vAlign w:val="center"/>
            <w:hideMark/>
          </w:tcPr>
          <w:p w:rsidR="004E5DE0" w:rsidRPr="00AE5CE6" w:rsidRDefault="004E5DE0" w:rsidP="00AB708C">
            <w:pPr>
              <w:spacing w:line="240" w:lineRule="auto"/>
              <w:jc w:val="center"/>
              <w:rPr>
                <w:rFonts w:cs="Times New Roman"/>
                <w:szCs w:val="24"/>
              </w:rPr>
            </w:pPr>
          </w:p>
        </w:tc>
        <w:tc>
          <w:tcPr>
            <w:tcW w:w="214" w:type="pct"/>
            <w:tcBorders>
              <w:top w:val="nil"/>
              <w:left w:val="nil"/>
              <w:bottom w:val="single" w:sz="4" w:space="0" w:color="auto"/>
              <w:right w:val="single" w:sz="4" w:space="0" w:color="auto"/>
            </w:tcBorders>
            <w:shd w:val="clear" w:color="000000" w:fill="92D050"/>
            <w:noWrap/>
            <w:vAlign w:val="center"/>
            <w:hideMark/>
          </w:tcPr>
          <w:p w:rsidR="004E5DE0" w:rsidRPr="00AE5CE6" w:rsidRDefault="004E5DE0" w:rsidP="00AB708C">
            <w:pPr>
              <w:spacing w:line="240" w:lineRule="auto"/>
              <w:jc w:val="center"/>
              <w:rPr>
                <w:rFonts w:cs="Times New Roman"/>
                <w:szCs w:val="24"/>
              </w:rPr>
            </w:pPr>
          </w:p>
        </w:tc>
        <w:tc>
          <w:tcPr>
            <w:tcW w:w="214" w:type="pct"/>
            <w:tcBorders>
              <w:top w:val="nil"/>
              <w:left w:val="nil"/>
              <w:bottom w:val="single" w:sz="4" w:space="0" w:color="auto"/>
              <w:right w:val="single" w:sz="4" w:space="0" w:color="auto"/>
            </w:tcBorders>
            <w:shd w:val="clear" w:color="000000" w:fill="92D050"/>
            <w:noWrap/>
            <w:vAlign w:val="center"/>
            <w:hideMark/>
          </w:tcPr>
          <w:p w:rsidR="004E5DE0" w:rsidRPr="00AE5CE6" w:rsidRDefault="004E5DE0" w:rsidP="00AB708C">
            <w:pPr>
              <w:spacing w:line="240" w:lineRule="auto"/>
              <w:jc w:val="center"/>
              <w:rPr>
                <w:rFonts w:cs="Times New Roman"/>
                <w:szCs w:val="24"/>
              </w:rPr>
            </w:pPr>
          </w:p>
        </w:tc>
        <w:tc>
          <w:tcPr>
            <w:tcW w:w="214" w:type="pct"/>
            <w:tcBorders>
              <w:top w:val="nil"/>
              <w:left w:val="nil"/>
              <w:bottom w:val="single" w:sz="4" w:space="0" w:color="auto"/>
              <w:right w:val="single" w:sz="4" w:space="0" w:color="auto"/>
            </w:tcBorders>
            <w:shd w:val="clear" w:color="auto" w:fill="92D050"/>
            <w:noWrap/>
            <w:vAlign w:val="center"/>
            <w:hideMark/>
          </w:tcPr>
          <w:p w:rsidR="004E5DE0" w:rsidRPr="00AE5CE6" w:rsidRDefault="004E5DE0" w:rsidP="00AB708C">
            <w:pPr>
              <w:spacing w:line="240" w:lineRule="auto"/>
              <w:jc w:val="center"/>
              <w:rPr>
                <w:rFonts w:cs="Times New Roman"/>
                <w:szCs w:val="24"/>
              </w:rPr>
            </w:pPr>
          </w:p>
        </w:tc>
        <w:tc>
          <w:tcPr>
            <w:tcW w:w="243" w:type="pct"/>
            <w:tcBorders>
              <w:top w:val="nil"/>
              <w:left w:val="nil"/>
              <w:bottom w:val="single" w:sz="4" w:space="0" w:color="auto"/>
              <w:right w:val="single" w:sz="4" w:space="0" w:color="auto"/>
            </w:tcBorders>
            <w:shd w:val="clear" w:color="auto" w:fill="auto"/>
            <w:noWrap/>
            <w:vAlign w:val="center"/>
            <w:hideMark/>
          </w:tcPr>
          <w:p w:rsidR="004E5DE0" w:rsidRPr="00AE5CE6" w:rsidRDefault="004E5DE0" w:rsidP="00AB708C">
            <w:pPr>
              <w:spacing w:line="240" w:lineRule="auto"/>
              <w:jc w:val="center"/>
              <w:rPr>
                <w:rFonts w:cs="Times New Roman"/>
                <w:szCs w:val="24"/>
              </w:rPr>
            </w:pPr>
          </w:p>
        </w:tc>
        <w:tc>
          <w:tcPr>
            <w:tcW w:w="322" w:type="pct"/>
            <w:tcBorders>
              <w:top w:val="nil"/>
              <w:left w:val="nil"/>
              <w:bottom w:val="single" w:sz="4" w:space="0" w:color="auto"/>
              <w:right w:val="single" w:sz="4" w:space="0" w:color="auto"/>
            </w:tcBorders>
            <w:shd w:val="clear" w:color="auto" w:fill="auto"/>
            <w:noWrap/>
            <w:vAlign w:val="center"/>
            <w:hideMark/>
          </w:tcPr>
          <w:p w:rsidR="004E5DE0" w:rsidRPr="00AE5CE6" w:rsidRDefault="004E5DE0" w:rsidP="00AB708C">
            <w:pPr>
              <w:spacing w:line="240" w:lineRule="auto"/>
              <w:jc w:val="center"/>
              <w:rPr>
                <w:rFonts w:cs="Times New Roman"/>
                <w:szCs w:val="24"/>
              </w:rPr>
            </w:pPr>
          </w:p>
        </w:tc>
        <w:tc>
          <w:tcPr>
            <w:tcW w:w="290" w:type="pct"/>
            <w:tcBorders>
              <w:top w:val="nil"/>
              <w:left w:val="nil"/>
              <w:bottom w:val="single" w:sz="4" w:space="0" w:color="auto"/>
              <w:right w:val="single" w:sz="4" w:space="0" w:color="auto"/>
            </w:tcBorders>
            <w:shd w:val="clear" w:color="auto" w:fill="auto"/>
            <w:noWrap/>
            <w:vAlign w:val="center"/>
            <w:hideMark/>
          </w:tcPr>
          <w:p w:rsidR="004E5DE0" w:rsidRPr="00AE5CE6" w:rsidRDefault="004E5DE0" w:rsidP="00AB708C">
            <w:pPr>
              <w:spacing w:line="240" w:lineRule="auto"/>
              <w:jc w:val="center"/>
              <w:rPr>
                <w:rFonts w:cs="Times New Roman"/>
                <w:szCs w:val="24"/>
              </w:rPr>
            </w:pPr>
          </w:p>
        </w:tc>
        <w:tc>
          <w:tcPr>
            <w:tcW w:w="317" w:type="pct"/>
            <w:tcBorders>
              <w:top w:val="nil"/>
              <w:left w:val="nil"/>
              <w:bottom w:val="single" w:sz="4" w:space="0" w:color="auto"/>
              <w:right w:val="single" w:sz="4" w:space="0" w:color="auto"/>
            </w:tcBorders>
            <w:shd w:val="clear" w:color="auto" w:fill="auto"/>
            <w:noWrap/>
            <w:vAlign w:val="center"/>
            <w:hideMark/>
          </w:tcPr>
          <w:p w:rsidR="004E5DE0" w:rsidRPr="00AE5CE6" w:rsidRDefault="004E5DE0" w:rsidP="00AB708C">
            <w:pPr>
              <w:spacing w:line="240" w:lineRule="auto"/>
              <w:jc w:val="center"/>
              <w:rPr>
                <w:rFonts w:cs="Times New Roman"/>
                <w:szCs w:val="24"/>
              </w:rPr>
            </w:pPr>
          </w:p>
        </w:tc>
      </w:tr>
      <w:tr w:rsidR="004E5DE0" w:rsidRPr="00AE5CE6" w:rsidTr="00AB708C">
        <w:trPr>
          <w:trHeight w:val="435"/>
          <w:jc w:val="center"/>
        </w:trPr>
        <w:tc>
          <w:tcPr>
            <w:tcW w:w="2117" w:type="pct"/>
            <w:tcBorders>
              <w:top w:val="nil"/>
              <w:left w:val="single" w:sz="4" w:space="0" w:color="auto"/>
              <w:bottom w:val="single" w:sz="4" w:space="0" w:color="auto"/>
              <w:right w:val="nil"/>
            </w:tcBorders>
            <w:shd w:val="clear" w:color="auto" w:fill="auto"/>
            <w:noWrap/>
            <w:vAlign w:val="center"/>
            <w:hideMark/>
          </w:tcPr>
          <w:p w:rsidR="004E5DE0" w:rsidRPr="00AE5CE6" w:rsidRDefault="004E5DE0" w:rsidP="00AB708C">
            <w:pPr>
              <w:spacing w:line="240" w:lineRule="auto"/>
              <w:jc w:val="center"/>
              <w:rPr>
                <w:rFonts w:cs="Times New Roman"/>
                <w:szCs w:val="24"/>
              </w:rPr>
            </w:pPr>
            <w:r w:rsidRPr="00AE5CE6">
              <w:rPr>
                <w:rFonts w:cs="Times New Roman"/>
                <w:szCs w:val="24"/>
              </w:rPr>
              <w:lastRenderedPageBreak/>
              <w:t>Revisión final</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4E5DE0" w:rsidRPr="00AE5CE6" w:rsidRDefault="004E5DE0" w:rsidP="00AB708C">
            <w:pPr>
              <w:spacing w:line="240" w:lineRule="auto"/>
              <w:jc w:val="center"/>
              <w:rPr>
                <w:rFonts w:cs="Times New Roman"/>
                <w:szCs w:val="24"/>
              </w:rPr>
            </w:pPr>
          </w:p>
        </w:tc>
        <w:tc>
          <w:tcPr>
            <w:tcW w:w="213" w:type="pct"/>
            <w:tcBorders>
              <w:top w:val="nil"/>
              <w:left w:val="nil"/>
              <w:bottom w:val="single" w:sz="4" w:space="0" w:color="auto"/>
              <w:right w:val="single" w:sz="4" w:space="0" w:color="auto"/>
            </w:tcBorders>
            <w:shd w:val="clear" w:color="auto" w:fill="auto"/>
            <w:noWrap/>
            <w:vAlign w:val="center"/>
            <w:hideMark/>
          </w:tcPr>
          <w:p w:rsidR="004E5DE0" w:rsidRPr="00AE5CE6" w:rsidRDefault="004E5DE0" w:rsidP="00AB708C">
            <w:pPr>
              <w:spacing w:line="240" w:lineRule="auto"/>
              <w:jc w:val="center"/>
              <w:rPr>
                <w:rFonts w:cs="Times New Roman"/>
                <w:szCs w:val="24"/>
              </w:rPr>
            </w:pPr>
          </w:p>
        </w:tc>
        <w:tc>
          <w:tcPr>
            <w:tcW w:w="214" w:type="pct"/>
            <w:tcBorders>
              <w:top w:val="nil"/>
              <w:left w:val="nil"/>
              <w:bottom w:val="single" w:sz="4" w:space="0" w:color="auto"/>
              <w:right w:val="single" w:sz="4" w:space="0" w:color="auto"/>
            </w:tcBorders>
            <w:shd w:val="clear" w:color="auto" w:fill="auto"/>
            <w:noWrap/>
            <w:vAlign w:val="center"/>
            <w:hideMark/>
          </w:tcPr>
          <w:p w:rsidR="004E5DE0" w:rsidRPr="00AE5CE6" w:rsidRDefault="004E5DE0" w:rsidP="00AB708C">
            <w:pPr>
              <w:spacing w:line="240" w:lineRule="auto"/>
              <w:jc w:val="center"/>
              <w:rPr>
                <w:rFonts w:cs="Times New Roman"/>
                <w:szCs w:val="24"/>
              </w:rPr>
            </w:pPr>
          </w:p>
        </w:tc>
        <w:tc>
          <w:tcPr>
            <w:tcW w:w="214" w:type="pct"/>
            <w:tcBorders>
              <w:top w:val="nil"/>
              <w:left w:val="nil"/>
              <w:bottom w:val="single" w:sz="4" w:space="0" w:color="auto"/>
              <w:right w:val="single" w:sz="4" w:space="0" w:color="auto"/>
            </w:tcBorders>
            <w:shd w:val="clear" w:color="auto" w:fill="auto"/>
            <w:noWrap/>
            <w:vAlign w:val="center"/>
            <w:hideMark/>
          </w:tcPr>
          <w:p w:rsidR="004E5DE0" w:rsidRPr="00AE5CE6" w:rsidRDefault="004E5DE0" w:rsidP="00AB708C">
            <w:pPr>
              <w:spacing w:line="240" w:lineRule="auto"/>
              <w:jc w:val="center"/>
              <w:rPr>
                <w:rFonts w:cs="Times New Roman"/>
                <w:szCs w:val="24"/>
              </w:rPr>
            </w:pPr>
          </w:p>
        </w:tc>
        <w:tc>
          <w:tcPr>
            <w:tcW w:w="214" w:type="pct"/>
            <w:tcBorders>
              <w:top w:val="nil"/>
              <w:left w:val="nil"/>
              <w:bottom w:val="single" w:sz="4" w:space="0" w:color="auto"/>
              <w:right w:val="single" w:sz="4" w:space="0" w:color="auto"/>
            </w:tcBorders>
            <w:shd w:val="clear" w:color="auto" w:fill="auto"/>
            <w:noWrap/>
            <w:vAlign w:val="center"/>
            <w:hideMark/>
          </w:tcPr>
          <w:p w:rsidR="004E5DE0" w:rsidRPr="00AE5CE6" w:rsidRDefault="004E5DE0" w:rsidP="00AB708C">
            <w:pPr>
              <w:spacing w:line="240" w:lineRule="auto"/>
              <w:jc w:val="center"/>
              <w:rPr>
                <w:rFonts w:cs="Times New Roman"/>
                <w:szCs w:val="24"/>
              </w:rPr>
            </w:pPr>
          </w:p>
        </w:tc>
        <w:tc>
          <w:tcPr>
            <w:tcW w:w="214" w:type="pct"/>
            <w:tcBorders>
              <w:top w:val="nil"/>
              <w:left w:val="nil"/>
              <w:bottom w:val="single" w:sz="4" w:space="0" w:color="auto"/>
              <w:right w:val="single" w:sz="4" w:space="0" w:color="auto"/>
            </w:tcBorders>
            <w:shd w:val="clear" w:color="auto" w:fill="auto"/>
            <w:noWrap/>
            <w:vAlign w:val="center"/>
            <w:hideMark/>
          </w:tcPr>
          <w:p w:rsidR="004E5DE0" w:rsidRPr="00AE5CE6" w:rsidRDefault="004E5DE0" w:rsidP="00AB708C">
            <w:pPr>
              <w:spacing w:line="240" w:lineRule="auto"/>
              <w:jc w:val="center"/>
              <w:rPr>
                <w:rFonts w:cs="Times New Roman"/>
                <w:szCs w:val="24"/>
              </w:rPr>
            </w:pPr>
          </w:p>
        </w:tc>
        <w:tc>
          <w:tcPr>
            <w:tcW w:w="214" w:type="pct"/>
            <w:tcBorders>
              <w:top w:val="nil"/>
              <w:left w:val="nil"/>
              <w:bottom w:val="single" w:sz="4" w:space="0" w:color="auto"/>
              <w:right w:val="single" w:sz="4" w:space="0" w:color="auto"/>
            </w:tcBorders>
            <w:shd w:val="clear" w:color="auto" w:fill="auto"/>
            <w:noWrap/>
            <w:vAlign w:val="center"/>
            <w:hideMark/>
          </w:tcPr>
          <w:p w:rsidR="004E5DE0" w:rsidRPr="00AE5CE6" w:rsidRDefault="004E5DE0" w:rsidP="00AB708C">
            <w:pPr>
              <w:spacing w:line="240" w:lineRule="auto"/>
              <w:jc w:val="center"/>
              <w:rPr>
                <w:rFonts w:cs="Times New Roman"/>
                <w:szCs w:val="24"/>
              </w:rPr>
            </w:pPr>
          </w:p>
        </w:tc>
        <w:tc>
          <w:tcPr>
            <w:tcW w:w="214" w:type="pct"/>
            <w:tcBorders>
              <w:top w:val="nil"/>
              <w:left w:val="nil"/>
              <w:bottom w:val="single" w:sz="4" w:space="0" w:color="auto"/>
              <w:right w:val="single" w:sz="4" w:space="0" w:color="auto"/>
            </w:tcBorders>
            <w:shd w:val="clear" w:color="auto" w:fill="auto"/>
            <w:noWrap/>
            <w:vAlign w:val="center"/>
            <w:hideMark/>
          </w:tcPr>
          <w:p w:rsidR="004E5DE0" w:rsidRPr="00AE5CE6" w:rsidRDefault="004E5DE0" w:rsidP="00AB708C">
            <w:pPr>
              <w:spacing w:line="240" w:lineRule="auto"/>
              <w:jc w:val="center"/>
              <w:rPr>
                <w:rFonts w:cs="Times New Roman"/>
                <w:szCs w:val="24"/>
              </w:rPr>
            </w:pPr>
          </w:p>
        </w:tc>
        <w:tc>
          <w:tcPr>
            <w:tcW w:w="243" w:type="pct"/>
            <w:tcBorders>
              <w:top w:val="nil"/>
              <w:left w:val="nil"/>
              <w:bottom w:val="single" w:sz="4" w:space="0" w:color="auto"/>
              <w:right w:val="single" w:sz="4" w:space="0" w:color="auto"/>
            </w:tcBorders>
            <w:shd w:val="clear" w:color="000000" w:fill="92D050"/>
            <w:noWrap/>
            <w:vAlign w:val="center"/>
            <w:hideMark/>
          </w:tcPr>
          <w:p w:rsidR="004E5DE0" w:rsidRPr="00AE5CE6" w:rsidRDefault="004E5DE0" w:rsidP="00AB708C">
            <w:pPr>
              <w:spacing w:line="240" w:lineRule="auto"/>
              <w:jc w:val="center"/>
              <w:rPr>
                <w:rFonts w:cs="Times New Roman"/>
                <w:szCs w:val="24"/>
              </w:rPr>
            </w:pPr>
          </w:p>
        </w:tc>
        <w:tc>
          <w:tcPr>
            <w:tcW w:w="322" w:type="pct"/>
            <w:tcBorders>
              <w:top w:val="nil"/>
              <w:left w:val="nil"/>
              <w:bottom w:val="single" w:sz="4" w:space="0" w:color="auto"/>
              <w:right w:val="single" w:sz="4" w:space="0" w:color="auto"/>
            </w:tcBorders>
            <w:shd w:val="clear" w:color="000000" w:fill="92D050"/>
            <w:noWrap/>
            <w:vAlign w:val="center"/>
            <w:hideMark/>
          </w:tcPr>
          <w:p w:rsidR="004E5DE0" w:rsidRPr="00AE5CE6" w:rsidRDefault="004E5DE0" w:rsidP="00AB708C">
            <w:pPr>
              <w:spacing w:line="240" w:lineRule="auto"/>
              <w:jc w:val="center"/>
              <w:rPr>
                <w:rFonts w:cs="Times New Roman"/>
                <w:szCs w:val="24"/>
              </w:rPr>
            </w:pPr>
          </w:p>
        </w:tc>
        <w:tc>
          <w:tcPr>
            <w:tcW w:w="290" w:type="pct"/>
            <w:tcBorders>
              <w:top w:val="nil"/>
              <w:left w:val="nil"/>
              <w:bottom w:val="single" w:sz="4" w:space="0" w:color="auto"/>
              <w:right w:val="single" w:sz="4" w:space="0" w:color="auto"/>
            </w:tcBorders>
            <w:shd w:val="clear" w:color="000000" w:fill="92D050"/>
            <w:noWrap/>
            <w:vAlign w:val="center"/>
            <w:hideMark/>
          </w:tcPr>
          <w:p w:rsidR="004E5DE0" w:rsidRPr="00AE5CE6" w:rsidRDefault="004E5DE0" w:rsidP="00AB708C">
            <w:pPr>
              <w:spacing w:line="240" w:lineRule="auto"/>
              <w:jc w:val="center"/>
              <w:rPr>
                <w:rFonts w:cs="Times New Roman"/>
                <w:szCs w:val="24"/>
              </w:rPr>
            </w:pPr>
          </w:p>
        </w:tc>
        <w:tc>
          <w:tcPr>
            <w:tcW w:w="317" w:type="pct"/>
            <w:tcBorders>
              <w:top w:val="nil"/>
              <w:left w:val="nil"/>
              <w:bottom w:val="single" w:sz="4" w:space="0" w:color="auto"/>
              <w:right w:val="single" w:sz="4" w:space="0" w:color="auto"/>
            </w:tcBorders>
            <w:shd w:val="clear" w:color="auto" w:fill="auto"/>
            <w:noWrap/>
            <w:vAlign w:val="center"/>
            <w:hideMark/>
          </w:tcPr>
          <w:p w:rsidR="004E5DE0" w:rsidRPr="00AE5CE6" w:rsidRDefault="004E5DE0" w:rsidP="00AB708C">
            <w:pPr>
              <w:spacing w:line="240" w:lineRule="auto"/>
              <w:jc w:val="center"/>
              <w:rPr>
                <w:rFonts w:cs="Times New Roman"/>
                <w:szCs w:val="24"/>
              </w:rPr>
            </w:pPr>
          </w:p>
        </w:tc>
      </w:tr>
      <w:tr w:rsidR="004E5DE0" w:rsidRPr="00AE5CE6" w:rsidTr="00AB708C">
        <w:trPr>
          <w:trHeight w:val="382"/>
          <w:jc w:val="center"/>
        </w:trPr>
        <w:tc>
          <w:tcPr>
            <w:tcW w:w="2117" w:type="pct"/>
            <w:tcBorders>
              <w:top w:val="nil"/>
              <w:left w:val="single" w:sz="4" w:space="0" w:color="auto"/>
              <w:bottom w:val="single" w:sz="4" w:space="0" w:color="auto"/>
              <w:right w:val="nil"/>
            </w:tcBorders>
            <w:shd w:val="clear" w:color="auto" w:fill="auto"/>
            <w:noWrap/>
            <w:vAlign w:val="center"/>
            <w:hideMark/>
          </w:tcPr>
          <w:p w:rsidR="004E5DE0" w:rsidRPr="00AE5CE6" w:rsidRDefault="004E5DE0" w:rsidP="00AB708C">
            <w:pPr>
              <w:spacing w:line="240" w:lineRule="auto"/>
              <w:jc w:val="center"/>
              <w:rPr>
                <w:rFonts w:cs="Times New Roman"/>
                <w:szCs w:val="24"/>
              </w:rPr>
            </w:pPr>
            <w:r w:rsidRPr="00AE5CE6">
              <w:rPr>
                <w:rFonts w:cs="Times New Roman"/>
                <w:szCs w:val="24"/>
              </w:rPr>
              <w:t>Entrega</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4E5DE0" w:rsidRPr="00AE5CE6" w:rsidRDefault="004E5DE0" w:rsidP="00AB708C">
            <w:pPr>
              <w:spacing w:line="240" w:lineRule="auto"/>
              <w:jc w:val="center"/>
              <w:rPr>
                <w:rFonts w:cs="Times New Roman"/>
                <w:szCs w:val="24"/>
              </w:rPr>
            </w:pPr>
          </w:p>
        </w:tc>
        <w:tc>
          <w:tcPr>
            <w:tcW w:w="213" w:type="pct"/>
            <w:tcBorders>
              <w:top w:val="nil"/>
              <w:left w:val="nil"/>
              <w:bottom w:val="single" w:sz="4" w:space="0" w:color="auto"/>
              <w:right w:val="single" w:sz="4" w:space="0" w:color="auto"/>
            </w:tcBorders>
            <w:shd w:val="clear" w:color="auto" w:fill="auto"/>
            <w:noWrap/>
            <w:vAlign w:val="center"/>
            <w:hideMark/>
          </w:tcPr>
          <w:p w:rsidR="004E5DE0" w:rsidRPr="00AE5CE6" w:rsidRDefault="004E5DE0" w:rsidP="00AB708C">
            <w:pPr>
              <w:spacing w:line="240" w:lineRule="auto"/>
              <w:jc w:val="center"/>
              <w:rPr>
                <w:rFonts w:cs="Times New Roman"/>
                <w:szCs w:val="24"/>
              </w:rPr>
            </w:pPr>
          </w:p>
        </w:tc>
        <w:tc>
          <w:tcPr>
            <w:tcW w:w="214" w:type="pct"/>
            <w:tcBorders>
              <w:top w:val="nil"/>
              <w:left w:val="nil"/>
              <w:bottom w:val="single" w:sz="4" w:space="0" w:color="auto"/>
              <w:right w:val="single" w:sz="4" w:space="0" w:color="auto"/>
            </w:tcBorders>
            <w:shd w:val="clear" w:color="auto" w:fill="auto"/>
            <w:noWrap/>
            <w:vAlign w:val="center"/>
            <w:hideMark/>
          </w:tcPr>
          <w:p w:rsidR="004E5DE0" w:rsidRPr="00AE5CE6" w:rsidRDefault="004E5DE0" w:rsidP="00AB708C">
            <w:pPr>
              <w:spacing w:line="240" w:lineRule="auto"/>
              <w:jc w:val="center"/>
              <w:rPr>
                <w:rFonts w:cs="Times New Roman"/>
                <w:szCs w:val="24"/>
              </w:rPr>
            </w:pPr>
          </w:p>
        </w:tc>
        <w:tc>
          <w:tcPr>
            <w:tcW w:w="214" w:type="pct"/>
            <w:tcBorders>
              <w:top w:val="nil"/>
              <w:left w:val="nil"/>
              <w:bottom w:val="single" w:sz="4" w:space="0" w:color="auto"/>
              <w:right w:val="single" w:sz="4" w:space="0" w:color="auto"/>
            </w:tcBorders>
            <w:shd w:val="clear" w:color="auto" w:fill="auto"/>
            <w:noWrap/>
            <w:vAlign w:val="center"/>
            <w:hideMark/>
          </w:tcPr>
          <w:p w:rsidR="004E5DE0" w:rsidRPr="00AE5CE6" w:rsidRDefault="004E5DE0" w:rsidP="00AB708C">
            <w:pPr>
              <w:spacing w:line="240" w:lineRule="auto"/>
              <w:jc w:val="center"/>
              <w:rPr>
                <w:rFonts w:cs="Times New Roman"/>
                <w:szCs w:val="24"/>
              </w:rPr>
            </w:pPr>
          </w:p>
        </w:tc>
        <w:tc>
          <w:tcPr>
            <w:tcW w:w="214" w:type="pct"/>
            <w:tcBorders>
              <w:top w:val="nil"/>
              <w:left w:val="nil"/>
              <w:bottom w:val="single" w:sz="4" w:space="0" w:color="auto"/>
              <w:right w:val="single" w:sz="4" w:space="0" w:color="auto"/>
            </w:tcBorders>
            <w:shd w:val="clear" w:color="auto" w:fill="auto"/>
            <w:noWrap/>
            <w:vAlign w:val="center"/>
            <w:hideMark/>
          </w:tcPr>
          <w:p w:rsidR="004E5DE0" w:rsidRPr="00AE5CE6" w:rsidRDefault="004E5DE0" w:rsidP="00AB708C">
            <w:pPr>
              <w:spacing w:line="240" w:lineRule="auto"/>
              <w:jc w:val="center"/>
              <w:rPr>
                <w:rFonts w:cs="Times New Roman"/>
                <w:szCs w:val="24"/>
              </w:rPr>
            </w:pPr>
          </w:p>
        </w:tc>
        <w:tc>
          <w:tcPr>
            <w:tcW w:w="214" w:type="pct"/>
            <w:tcBorders>
              <w:top w:val="nil"/>
              <w:left w:val="nil"/>
              <w:bottom w:val="single" w:sz="4" w:space="0" w:color="auto"/>
              <w:right w:val="single" w:sz="4" w:space="0" w:color="auto"/>
            </w:tcBorders>
            <w:shd w:val="clear" w:color="auto" w:fill="auto"/>
            <w:noWrap/>
            <w:vAlign w:val="center"/>
            <w:hideMark/>
          </w:tcPr>
          <w:p w:rsidR="004E5DE0" w:rsidRPr="00AE5CE6" w:rsidRDefault="004E5DE0" w:rsidP="00AB708C">
            <w:pPr>
              <w:spacing w:line="240" w:lineRule="auto"/>
              <w:jc w:val="center"/>
              <w:rPr>
                <w:rFonts w:cs="Times New Roman"/>
                <w:szCs w:val="24"/>
              </w:rPr>
            </w:pPr>
          </w:p>
        </w:tc>
        <w:tc>
          <w:tcPr>
            <w:tcW w:w="214" w:type="pct"/>
            <w:tcBorders>
              <w:top w:val="nil"/>
              <w:left w:val="nil"/>
              <w:bottom w:val="single" w:sz="4" w:space="0" w:color="auto"/>
              <w:right w:val="single" w:sz="4" w:space="0" w:color="auto"/>
            </w:tcBorders>
            <w:shd w:val="clear" w:color="auto" w:fill="auto"/>
            <w:noWrap/>
            <w:vAlign w:val="center"/>
            <w:hideMark/>
          </w:tcPr>
          <w:p w:rsidR="004E5DE0" w:rsidRPr="00AE5CE6" w:rsidRDefault="004E5DE0" w:rsidP="00AB708C">
            <w:pPr>
              <w:spacing w:line="240" w:lineRule="auto"/>
              <w:jc w:val="center"/>
              <w:rPr>
                <w:rFonts w:cs="Times New Roman"/>
                <w:szCs w:val="24"/>
              </w:rPr>
            </w:pPr>
          </w:p>
        </w:tc>
        <w:tc>
          <w:tcPr>
            <w:tcW w:w="214" w:type="pct"/>
            <w:tcBorders>
              <w:top w:val="nil"/>
              <w:left w:val="nil"/>
              <w:bottom w:val="single" w:sz="4" w:space="0" w:color="auto"/>
              <w:right w:val="single" w:sz="4" w:space="0" w:color="auto"/>
            </w:tcBorders>
            <w:shd w:val="clear" w:color="auto" w:fill="auto"/>
            <w:noWrap/>
            <w:vAlign w:val="center"/>
            <w:hideMark/>
          </w:tcPr>
          <w:p w:rsidR="004E5DE0" w:rsidRPr="00AE5CE6" w:rsidRDefault="004E5DE0" w:rsidP="00AB708C">
            <w:pPr>
              <w:spacing w:line="240" w:lineRule="auto"/>
              <w:jc w:val="center"/>
              <w:rPr>
                <w:rFonts w:cs="Times New Roman"/>
                <w:szCs w:val="24"/>
              </w:rPr>
            </w:pPr>
          </w:p>
        </w:tc>
        <w:tc>
          <w:tcPr>
            <w:tcW w:w="243" w:type="pct"/>
            <w:tcBorders>
              <w:top w:val="nil"/>
              <w:left w:val="nil"/>
              <w:bottom w:val="single" w:sz="4" w:space="0" w:color="auto"/>
              <w:right w:val="single" w:sz="4" w:space="0" w:color="auto"/>
            </w:tcBorders>
            <w:shd w:val="clear" w:color="auto" w:fill="auto"/>
            <w:noWrap/>
            <w:vAlign w:val="center"/>
            <w:hideMark/>
          </w:tcPr>
          <w:p w:rsidR="004E5DE0" w:rsidRPr="00AE5CE6" w:rsidRDefault="004E5DE0" w:rsidP="00AB708C">
            <w:pPr>
              <w:spacing w:line="240" w:lineRule="auto"/>
              <w:jc w:val="center"/>
              <w:rPr>
                <w:rFonts w:cs="Times New Roman"/>
                <w:szCs w:val="24"/>
              </w:rPr>
            </w:pPr>
          </w:p>
        </w:tc>
        <w:tc>
          <w:tcPr>
            <w:tcW w:w="322" w:type="pct"/>
            <w:tcBorders>
              <w:top w:val="nil"/>
              <w:left w:val="nil"/>
              <w:bottom w:val="single" w:sz="4" w:space="0" w:color="auto"/>
              <w:right w:val="single" w:sz="4" w:space="0" w:color="auto"/>
            </w:tcBorders>
            <w:shd w:val="clear" w:color="auto" w:fill="auto"/>
            <w:noWrap/>
            <w:vAlign w:val="center"/>
            <w:hideMark/>
          </w:tcPr>
          <w:p w:rsidR="004E5DE0" w:rsidRPr="00AE5CE6" w:rsidRDefault="004E5DE0" w:rsidP="00AB708C">
            <w:pPr>
              <w:spacing w:line="240" w:lineRule="auto"/>
              <w:jc w:val="center"/>
              <w:rPr>
                <w:rFonts w:cs="Times New Roman"/>
                <w:szCs w:val="24"/>
              </w:rPr>
            </w:pPr>
          </w:p>
        </w:tc>
        <w:tc>
          <w:tcPr>
            <w:tcW w:w="290" w:type="pct"/>
            <w:tcBorders>
              <w:top w:val="nil"/>
              <w:left w:val="nil"/>
              <w:bottom w:val="single" w:sz="4" w:space="0" w:color="auto"/>
              <w:right w:val="single" w:sz="4" w:space="0" w:color="auto"/>
            </w:tcBorders>
            <w:shd w:val="clear" w:color="auto" w:fill="auto"/>
            <w:noWrap/>
            <w:vAlign w:val="center"/>
            <w:hideMark/>
          </w:tcPr>
          <w:p w:rsidR="004E5DE0" w:rsidRPr="00AE5CE6" w:rsidRDefault="004E5DE0" w:rsidP="00AB708C">
            <w:pPr>
              <w:spacing w:line="240" w:lineRule="auto"/>
              <w:jc w:val="center"/>
              <w:rPr>
                <w:rFonts w:cs="Times New Roman"/>
                <w:szCs w:val="24"/>
              </w:rPr>
            </w:pPr>
          </w:p>
        </w:tc>
        <w:tc>
          <w:tcPr>
            <w:tcW w:w="317" w:type="pct"/>
            <w:tcBorders>
              <w:top w:val="nil"/>
              <w:left w:val="nil"/>
              <w:bottom w:val="single" w:sz="4" w:space="0" w:color="auto"/>
              <w:right w:val="single" w:sz="4" w:space="0" w:color="auto"/>
            </w:tcBorders>
            <w:shd w:val="clear" w:color="000000" w:fill="92D050"/>
            <w:noWrap/>
            <w:vAlign w:val="center"/>
            <w:hideMark/>
          </w:tcPr>
          <w:p w:rsidR="004E5DE0" w:rsidRPr="00AE5CE6" w:rsidRDefault="004E5DE0" w:rsidP="00AB708C">
            <w:pPr>
              <w:spacing w:line="240" w:lineRule="auto"/>
              <w:jc w:val="center"/>
              <w:rPr>
                <w:rFonts w:cs="Times New Roman"/>
                <w:szCs w:val="24"/>
              </w:rPr>
            </w:pPr>
          </w:p>
        </w:tc>
      </w:tr>
    </w:tbl>
    <w:p w:rsidR="00FB22F3" w:rsidRPr="001B42B3" w:rsidRDefault="00FB22F3" w:rsidP="001B42B3">
      <w:pPr>
        <w:tabs>
          <w:tab w:val="left" w:pos="1134"/>
        </w:tabs>
        <w:spacing w:after="0"/>
        <w:contextualSpacing/>
        <w:rPr>
          <w:rFonts w:cs="Times New Roman"/>
          <w:szCs w:val="24"/>
        </w:rPr>
      </w:pPr>
    </w:p>
    <w:p w:rsidR="001142CB" w:rsidRPr="001B42B3" w:rsidRDefault="001142CB" w:rsidP="001B42B3">
      <w:pPr>
        <w:tabs>
          <w:tab w:val="left" w:pos="1134"/>
        </w:tabs>
        <w:rPr>
          <w:rFonts w:cs="Times New Roman"/>
          <w:szCs w:val="24"/>
        </w:rPr>
      </w:pPr>
    </w:p>
    <w:p w:rsidR="001142CB" w:rsidRPr="001B42B3" w:rsidRDefault="001142CB" w:rsidP="001B42B3">
      <w:pPr>
        <w:ind w:left="708"/>
        <w:rPr>
          <w:rFonts w:cs="Times New Roman"/>
          <w:szCs w:val="24"/>
        </w:rPr>
      </w:pPr>
    </w:p>
    <w:sectPr w:rsidR="001142CB" w:rsidRPr="001B42B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7FD" w:rsidRDefault="00A447FD" w:rsidP="00BF3F7C">
      <w:pPr>
        <w:spacing w:after="0" w:line="240" w:lineRule="auto"/>
      </w:pPr>
      <w:r>
        <w:separator/>
      </w:r>
    </w:p>
  </w:endnote>
  <w:endnote w:type="continuationSeparator" w:id="0">
    <w:p w:rsidR="00A447FD" w:rsidRDefault="00A447FD" w:rsidP="00BF3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7FD" w:rsidRDefault="00A447FD" w:rsidP="00BF3F7C">
      <w:pPr>
        <w:spacing w:after="0" w:line="240" w:lineRule="auto"/>
      </w:pPr>
      <w:r>
        <w:separator/>
      </w:r>
    </w:p>
  </w:footnote>
  <w:footnote w:type="continuationSeparator" w:id="0">
    <w:p w:rsidR="00A447FD" w:rsidRDefault="00A447FD" w:rsidP="00BF3F7C">
      <w:pPr>
        <w:spacing w:after="0" w:line="240" w:lineRule="auto"/>
      </w:pPr>
      <w:r>
        <w:continuationSeparator/>
      </w:r>
    </w:p>
  </w:footnote>
  <w:footnote w:id="1">
    <w:p w:rsidR="005C641F" w:rsidRPr="004D4971" w:rsidRDefault="005C641F" w:rsidP="005C641F">
      <w:pPr>
        <w:pStyle w:val="Textonotapie"/>
        <w:jc w:val="both"/>
        <w:rPr>
          <w:rFonts w:ascii="Times New Roman" w:hAnsi="Times New Roman" w:cs="Times New Roman"/>
        </w:rPr>
      </w:pPr>
      <w:r w:rsidRPr="004D4971">
        <w:rPr>
          <w:rStyle w:val="Refdenotaalpie"/>
          <w:rFonts w:ascii="Times New Roman" w:hAnsi="Times New Roman" w:cs="Times New Roman"/>
        </w:rPr>
        <w:footnoteRef/>
      </w:r>
      <w:r w:rsidRPr="004D4971">
        <w:rPr>
          <w:rFonts w:ascii="Times New Roman" w:hAnsi="Times New Roman" w:cs="Times New Roman"/>
        </w:rPr>
        <w:t xml:space="preserve">/ Ver el documento “Modelo interno de cuantificación de pérdidas esperadas y no esperadas de la cartera de crédito”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6BB2"/>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F30034"/>
    <w:multiLevelType w:val="hybridMultilevel"/>
    <w:tmpl w:val="568A6536"/>
    <w:lvl w:ilvl="0" w:tplc="300A000F">
      <w:start w:val="3"/>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0A2A25B2"/>
    <w:multiLevelType w:val="multilevel"/>
    <w:tmpl w:val="DD3C0B7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8FA6978"/>
    <w:multiLevelType w:val="hybridMultilevel"/>
    <w:tmpl w:val="38DEF9C6"/>
    <w:lvl w:ilvl="0" w:tplc="C7C6A828">
      <w:start w:val="1"/>
      <w:numFmt w:val="bullet"/>
      <w:lvlText w:val=""/>
      <w:lvlJc w:val="left"/>
      <w:pPr>
        <w:ind w:left="720" w:hanging="360"/>
      </w:pPr>
      <w:rPr>
        <w:rFonts w:ascii="Symbol" w:hAnsi="Symbol" w:hint="default"/>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19503F9E"/>
    <w:multiLevelType w:val="hybridMultilevel"/>
    <w:tmpl w:val="93A2343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19DB1196"/>
    <w:multiLevelType w:val="hybridMultilevel"/>
    <w:tmpl w:val="9294CCDE"/>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389867EE"/>
    <w:multiLevelType w:val="hybridMultilevel"/>
    <w:tmpl w:val="4EDA96C4"/>
    <w:lvl w:ilvl="0" w:tplc="300A000F">
      <w:start w:val="3"/>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42586A67"/>
    <w:multiLevelType w:val="multilevel"/>
    <w:tmpl w:val="DD3C0B7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77479F7"/>
    <w:multiLevelType w:val="multilevel"/>
    <w:tmpl w:val="76E24CB6"/>
    <w:lvl w:ilvl="0">
      <w:start w:val="2"/>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48F404D0"/>
    <w:multiLevelType w:val="multilevel"/>
    <w:tmpl w:val="DD3C0B7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9AA04ED"/>
    <w:multiLevelType w:val="multilevel"/>
    <w:tmpl w:val="DD3C0B7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06B3DF9"/>
    <w:multiLevelType w:val="hybridMultilevel"/>
    <w:tmpl w:val="8D8CAD7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nsid w:val="63F20E3E"/>
    <w:multiLevelType w:val="multilevel"/>
    <w:tmpl w:val="3F8E95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40C7EB3"/>
    <w:multiLevelType w:val="multilevel"/>
    <w:tmpl w:val="DD3C0B7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C6F3B89"/>
    <w:multiLevelType w:val="hybridMultilevel"/>
    <w:tmpl w:val="D5360156"/>
    <w:lvl w:ilvl="0" w:tplc="300A000F">
      <w:start w:val="4"/>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nsid w:val="7A3E5D25"/>
    <w:multiLevelType w:val="multilevel"/>
    <w:tmpl w:val="DD3C0B7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2"/>
  </w:num>
  <w:num w:numId="3">
    <w:abstractNumId w:val="13"/>
  </w:num>
  <w:num w:numId="4">
    <w:abstractNumId w:val="15"/>
  </w:num>
  <w:num w:numId="5">
    <w:abstractNumId w:val="9"/>
  </w:num>
  <w:num w:numId="6">
    <w:abstractNumId w:val="4"/>
  </w:num>
  <w:num w:numId="7">
    <w:abstractNumId w:val="10"/>
  </w:num>
  <w:num w:numId="8">
    <w:abstractNumId w:val="11"/>
  </w:num>
  <w:num w:numId="9">
    <w:abstractNumId w:val="7"/>
  </w:num>
  <w:num w:numId="10">
    <w:abstractNumId w:val="2"/>
  </w:num>
  <w:num w:numId="11">
    <w:abstractNumId w:val="3"/>
  </w:num>
  <w:num w:numId="12">
    <w:abstractNumId w:val="8"/>
  </w:num>
  <w:num w:numId="13">
    <w:abstractNumId w:val="14"/>
  </w:num>
  <w:num w:numId="14">
    <w:abstractNumId w:val="6"/>
  </w:num>
  <w:num w:numId="15">
    <w:abstractNumId w:val="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357"/>
    <w:rsid w:val="001142CB"/>
    <w:rsid w:val="001B42B3"/>
    <w:rsid w:val="003E4A9B"/>
    <w:rsid w:val="0042187A"/>
    <w:rsid w:val="00452C36"/>
    <w:rsid w:val="004E3E77"/>
    <w:rsid w:val="004E5DE0"/>
    <w:rsid w:val="005C641F"/>
    <w:rsid w:val="006107D5"/>
    <w:rsid w:val="00644FCB"/>
    <w:rsid w:val="006974D2"/>
    <w:rsid w:val="006D0FEA"/>
    <w:rsid w:val="006E2EAB"/>
    <w:rsid w:val="00784849"/>
    <w:rsid w:val="007B0203"/>
    <w:rsid w:val="007E656C"/>
    <w:rsid w:val="00831F86"/>
    <w:rsid w:val="00840F72"/>
    <w:rsid w:val="008C7E25"/>
    <w:rsid w:val="009112B4"/>
    <w:rsid w:val="009B584F"/>
    <w:rsid w:val="00A1360F"/>
    <w:rsid w:val="00A37E86"/>
    <w:rsid w:val="00A447FD"/>
    <w:rsid w:val="00A52FFB"/>
    <w:rsid w:val="00AE5CE6"/>
    <w:rsid w:val="00B12B68"/>
    <w:rsid w:val="00B374E4"/>
    <w:rsid w:val="00BF3F7C"/>
    <w:rsid w:val="00D00357"/>
    <w:rsid w:val="00D616EA"/>
    <w:rsid w:val="00D93F85"/>
    <w:rsid w:val="00E36D00"/>
    <w:rsid w:val="00FB22F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aller proyectos"/>
    <w:qFormat/>
    <w:rsid w:val="00D00357"/>
    <w:pPr>
      <w:spacing w:line="360" w:lineRule="auto"/>
      <w:jc w:val="both"/>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0357"/>
    <w:pPr>
      <w:ind w:left="720"/>
      <w:contextualSpacing/>
    </w:pPr>
  </w:style>
  <w:style w:type="paragraph" w:styleId="Textonotapie">
    <w:name w:val="footnote text"/>
    <w:basedOn w:val="Normal"/>
    <w:link w:val="TextonotapieCar"/>
    <w:uiPriority w:val="99"/>
    <w:semiHidden/>
    <w:unhideWhenUsed/>
    <w:rsid w:val="00BF3F7C"/>
    <w:pPr>
      <w:spacing w:after="0" w:line="240" w:lineRule="auto"/>
      <w:jc w:val="left"/>
    </w:pPr>
    <w:rPr>
      <w:rFonts w:asciiTheme="minorHAnsi" w:hAnsiTheme="minorHAnsi"/>
      <w:sz w:val="20"/>
      <w:szCs w:val="20"/>
    </w:rPr>
  </w:style>
  <w:style w:type="character" w:customStyle="1" w:styleId="TextonotapieCar">
    <w:name w:val="Texto nota pie Car"/>
    <w:basedOn w:val="Fuentedeprrafopredeter"/>
    <w:link w:val="Textonotapie"/>
    <w:uiPriority w:val="99"/>
    <w:semiHidden/>
    <w:rsid w:val="00BF3F7C"/>
    <w:rPr>
      <w:sz w:val="20"/>
      <w:szCs w:val="20"/>
    </w:rPr>
  </w:style>
  <w:style w:type="character" w:styleId="Refdenotaalpie">
    <w:name w:val="footnote reference"/>
    <w:basedOn w:val="Fuentedeprrafopredeter"/>
    <w:uiPriority w:val="99"/>
    <w:semiHidden/>
    <w:unhideWhenUsed/>
    <w:rsid w:val="00BF3F7C"/>
    <w:rPr>
      <w:vertAlign w:val="superscript"/>
    </w:rPr>
  </w:style>
  <w:style w:type="paragraph" w:styleId="Textodeglobo">
    <w:name w:val="Balloon Text"/>
    <w:basedOn w:val="Normal"/>
    <w:link w:val="TextodegloboCar"/>
    <w:uiPriority w:val="99"/>
    <w:semiHidden/>
    <w:unhideWhenUsed/>
    <w:rsid w:val="00BF3F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F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aller proyectos"/>
    <w:qFormat/>
    <w:rsid w:val="00D00357"/>
    <w:pPr>
      <w:spacing w:line="360" w:lineRule="auto"/>
      <w:jc w:val="both"/>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0357"/>
    <w:pPr>
      <w:ind w:left="720"/>
      <w:contextualSpacing/>
    </w:pPr>
  </w:style>
  <w:style w:type="paragraph" w:styleId="Textonotapie">
    <w:name w:val="footnote text"/>
    <w:basedOn w:val="Normal"/>
    <w:link w:val="TextonotapieCar"/>
    <w:uiPriority w:val="99"/>
    <w:semiHidden/>
    <w:unhideWhenUsed/>
    <w:rsid w:val="00BF3F7C"/>
    <w:pPr>
      <w:spacing w:after="0" w:line="240" w:lineRule="auto"/>
      <w:jc w:val="left"/>
    </w:pPr>
    <w:rPr>
      <w:rFonts w:asciiTheme="minorHAnsi" w:hAnsiTheme="minorHAnsi"/>
      <w:sz w:val="20"/>
      <w:szCs w:val="20"/>
    </w:rPr>
  </w:style>
  <w:style w:type="character" w:customStyle="1" w:styleId="TextonotapieCar">
    <w:name w:val="Texto nota pie Car"/>
    <w:basedOn w:val="Fuentedeprrafopredeter"/>
    <w:link w:val="Textonotapie"/>
    <w:uiPriority w:val="99"/>
    <w:semiHidden/>
    <w:rsid w:val="00BF3F7C"/>
    <w:rPr>
      <w:sz w:val="20"/>
      <w:szCs w:val="20"/>
    </w:rPr>
  </w:style>
  <w:style w:type="character" w:styleId="Refdenotaalpie">
    <w:name w:val="footnote reference"/>
    <w:basedOn w:val="Fuentedeprrafopredeter"/>
    <w:uiPriority w:val="99"/>
    <w:semiHidden/>
    <w:unhideWhenUsed/>
    <w:rsid w:val="00BF3F7C"/>
    <w:rPr>
      <w:vertAlign w:val="superscript"/>
    </w:rPr>
  </w:style>
  <w:style w:type="paragraph" w:styleId="Textodeglobo">
    <w:name w:val="Balloon Text"/>
    <w:basedOn w:val="Normal"/>
    <w:link w:val="TextodegloboCar"/>
    <w:uiPriority w:val="99"/>
    <w:semiHidden/>
    <w:unhideWhenUsed/>
    <w:rsid w:val="00BF3F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F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Lar05</b:Tag>
    <b:SourceType>BookSection</b:SourceType>
    <b:Guid>{20CA46E3-100B-42A5-95B8-AEFD621CE117}</b:Guid>
    <b:Author>
      <b:Author>
        <b:Corporate>Eguez, E. (Ed)</b:Corporate>
      </b:Author>
      <b:BookAuthor>
        <b:NameList>
          <b:Person>
            <b:Last>Larrea</b:Last>
            <b:First>M.</b:First>
          </b:Person>
          <b:Person>
            <b:Last>Larrea</b:Last>
            <b:First>S.</b:First>
          </b:Person>
          <b:Person>
            <b:Last>Leiva</b:Last>
            <b:First>P.</b:First>
          </b:Person>
          <b:Person>
            <b:Last>Manosalvas</b:Last>
            <b:First>R.</b:First>
          </b:Person>
          <b:Person>
            <b:Last>Muñoz</b:Last>
            <b:First>J.</b:First>
          </b:Person>
          <b:Person>
            <b:Last>Peralvo</b:Last>
            <b:First>F.</b:First>
          </b:Person>
          <b:Person>
            <b:Last>Sáenz</b:Last>
            <b:First>M.</b:First>
          </b:Person>
        </b:NameList>
      </b:BookAuthor>
    </b:Author>
    <b:Title>Recuperando las Memorias de Resistencias</b:Title>
    <b:Year>2005</b:Year>
    <b:Publisher>Corporación Mashi</b:Publisher>
    <b:City>Quito</b:City>
    <b:BookTitle>Buscando Caminos para el Desarrollo Local </b:BookTitle>
    <b:Pages>64-67</b:Pages>
    <b:RefOrder>2</b:RefOrder>
  </b:Source>
  <b:Source>
    <b:Tag>Dru84</b:Tag>
    <b:SourceType>Book</b:SourceType>
    <b:Guid>{7BC2E973-9A2A-4157-9ECE-8535EE62C491}</b:Guid>
    <b:Author>
      <b:Author>
        <b:NameList>
          <b:Person>
            <b:Last>Drucker</b:Last>
            <b:First>P.</b:First>
          </b:Person>
        </b:NameList>
      </b:Author>
    </b:Author>
    <b:Title>Introducao administracao</b:Title>
    <b:Year>1984</b:Year>
    <b:City>Sao Paulo</b:City>
    <b:RefOrder>5</b:RefOrder>
  </b:Source>
</b:Sources>
</file>

<file path=customXml/itemProps1.xml><?xml version="1.0" encoding="utf-8"?>
<ds:datastoreItem xmlns:ds="http://schemas.openxmlformats.org/officeDocument/2006/customXml" ds:itemID="{1F1273F5-8AE1-418B-9CCE-9D33BE609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1716</TotalTime>
  <Pages>6</Pages>
  <Words>1091</Words>
  <Characters>6001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Troya J.</dc:creator>
  <cp:lastModifiedBy>GAndrea</cp:lastModifiedBy>
  <cp:revision>30</cp:revision>
  <dcterms:created xsi:type="dcterms:W3CDTF">2018-03-04T15:23:00Z</dcterms:created>
  <dcterms:modified xsi:type="dcterms:W3CDTF">2018-06-11T02:52:00Z</dcterms:modified>
</cp:coreProperties>
</file>