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AEE" w:rsidRPr="00AC5AEE" w:rsidRDefault="00AC5AEE" w:rsidP="00AC5AEE">
      <w:pPr>
        <w:spacing w:line="240" w:lineRule="auto"/>
        <w:ind w:firstLine="0"/>
        <w:rPr>
          <w:rFonts w:ascii="Times" w:eastAsia="Times New Roman" w:hAnsi="Times" w:cs="Times New Roman"/>
          <w:b/>
          <w:caps/>
          <w:spacing w:val="15"/>
          <w:sz w:val="28"/>
          <w:szCs w:val="20"/>
        </w:rPr>
      </w:pPr>
      <w:r w:rsidRPr="00AC5AEE">
        <w:rPr>
          <w:rFonts w:ascii="Times" w:eastAsia="Times New Roman" w:hAnsi="Times" w:cs="Times New Roman"/>
          <w:b/>
          <w:caps/>
          <w:spacing w:val="15"/>
          <w:sz w:val="28"/>
          <w:szCs w:val="20"/>
        </w:rPr>
        <w:t>PODER</w:t>
      </w:r>
      <w:r w:rsidRPr="00AC5AEE">
        <w:rPr>
          <w:rFonts w:ascii="Times" w:eastAsia="Times New Roman" w:hAnsi="Times" w:cs="Times New Roman"/>
          <w:b/>
          <w:caps/>
          <w:spacing w:val="15"/>
          <w:sz w:val="28"/>
          <w:szCs w:val="20"/>
          <w:lang w:val="en-US"/>
        </w:rPr>
        <w:fldChar w:fldCharType="begin"/>
      </w:r>
      <w:r w:rsidRPr="00AC5AEE">
        <w:rPr>
          <w:rFonts w:ascii="Times" w:eastAsia="Times New Roman" w:hAnsi="Times" w:cs="Times New Roman"/>
          <w:b/>
          <w:caps/>
          <w:sz w:val="24"/>
          <w:szCs w:val="20"/>
        </w:rPr>
        <w:instrText>tc "</w:instrText>
      </w:r>
      <w:r w:rsidRPr="00AC5AEE">
        <w:rPr>
          <w:rFonts w:ascii="Times" w:eastAsia="Times New Roman" w:hAnsi="Times" w:cs="Times New Roman"/>
          <w:b/>
          <w:caps/>
          <w:spacing w:val="15"/>
          <w:sz w:val="28"/>
          <w:szCs w:val="20"/>
        </w:rPr>
        <w:instrText>PODER"</w:instrText>
      </w:r>
      <w:r w:rsidRPr="00AC5AEE">
        <w:rPr>
          <w:rFonts w:ascii="Times" w:eastAsia="Times New Roman" w:hAnsi="Times" w:cs="Times New Roman"/>
          <w:b/>
          <w:caps/>
          <w:spacing w:val="15"/>
          <w:sz w:val="28"/>
          <w:szCs w:val="20"/>
          <w:lang w:val="en-US"/>
        </w:rPr>
        <w:fldChar w:fldCharType="end"/>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En el pensamiento político moderno,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ha sido representado de tres maneras que pueden ser diferenciadas, aunque no resulten, sin embargo, completamente distintas: I)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entendido como una capacidad de la que se dispone o de la que se carece, II)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concebido como una institución que para ser legítima supone el consentimiento de aquellos sobre los cuales se ejerce y III)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analizado como una característica inherente de las relaciones sociales diversas que tienen lugar en la sociedad</w:t>
      </w:r>
      <w:r w:rsidRPr="00AC5AEE">
        <w:rPr>
          <w:rFonts w:ascii="Times" w:eastAsia="Times" w:hAnsi="Times" w:cs="Times New Roman"/>
          <w:sz w:val="12"/>
          <w:szCs w:val="20"/>
          <w:vertAlign w:val="superscript"/>
          <w:lang w:eastAsia="es-EC"/>
        </w:rPr>
        <w:t>1</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tabs>
          <w:tab w:val="left" w:pos="360"/>
        </w:tabs>
        <w:spacing w:line="268" w:lineRule="atLeast"/>
        <w:ind w:left="360" w:hanging="360"/>
        <w:rPr>
          <w:rFonts w:ascii="Times" w:eastAsia="Times New Roman" w:hAnsi="Times" w:cs="Times New Roman"/>
          <w:b/>
          <w:spacing w:val="15"/>
          <w:szCs w:val="20"/>
        </w:rPr>
      </w:pPr>
      <w:r w:rsidRPr="00AC5AEE">
        <w:rPr>
          <w:rFonts w:ascii="Times" w:eastAsia="Times New Roman" w:hAnsi="Times" w:cs="Times New Roman"/>
          <w:b/>
          <w:spacing w:val="15"/>
          <w:szCs w:val="20"/>
        </w:rPr>
        <w:t>I.</w:t>
      </w:r>
      <w:r w:rsidRPr="00AC5AEE">
        <w:rPr>
          <w:rFonts w:ascii="Times" w:eastAsia="Times New Roman" w:hAnsi="Times" w:cs="Times New Roman"/>
          <w:b/>
          <w:spacing w:val="15"/>
          <w:szCs w:val="20"/>
        </w:rPr>
        <w:tab/>
        <w:t xml:space="preserve">El </w:t>
      </w:r>
      <w:r w:rsidRPr="00AC5AEE">
        <w:rPr>
          <w:rFonts w:ascii="Times" w:eastAsia="Times New Roman" w:hAnsi="Times" w:cs="Times New Roman"/>
          <w:b/>
          <w:spacing w:val="15"/>
          <w:szCs w:val="20"/>
          <w:lang w:val="en-US"/>
        </w:rPr>
        <w:fldChar w:fldCharType="begin"/>
      </w:r>
      <w:r w:rsidRPr="00AC5AEE">
        <w:rPr>
          <w:rFonts w:ascii="Times" w:eastAsia="Times New Roman" w:hAnsi="Times" w:cs="Times New Roman"/>
          <w:b/>
          <w:spacing w:val="15"/>
          <w:szCs w:val="20"/>
        </w:rPr>
        <w:instrText>xe "</w:instrText>
      </w:r>
      <w:r w:rsidRPr="00AC5AEE">
        <w:rPr>
          <w:rFonts w:ascii="Times" w:eastAsia="Times New Roman" w:hAnsi="Times" w:cs="Times New Roman"/>
          <w:b/>
          <w:sz w:val="24"/>
          <w:szCs w:val="20"/>
        </w:rPr>
        <w:instrText>poder"</w:instrText>
      </w:r>
      <w:r w:rsidRPr="00AC5AEE">
        <w:rPr>
          <w:rFonts w:ascii="Times" w:eastAsia="Times New Roman" w:hAnsi="Times" w:cs="Times New Roman"/>
          <w:b/>
          <w:spacing w:val="15"/>
          <w:szCs w:val="20"/>
          <w:lang w:val="en-US"/>
        </w:rPr>
        <w:fldChar w:fldCharType="end"/>
      </w:r>
      <w:r w:rsidRPr="00AC5AEE">
        <w:rPr>
          <w:rFonts w:ascii="Helvetica" w:eastAsia="Times New Roman" w:hAnsi="Helvetica" w:cs="Helvetica"/>
          <w:b/>
          <w:i/>
          <w:spacing w:val="15"/>
          <w:sz w:val="18"/>
          <w:szCs w:val="20"/>
        </w:rPr>
        <w:t>poder</w:t>
      </w:r>
      <w:r w:rsidRPr="00AC5AEE">
        <w:rPr>
          <w:rFonts w:ascii="Times" w:eastAsia="Times New Roman" w:hAnsi="Times" w:cs="Times New Roman"/>
          <w:b/>
          <w:spacing w:val="15"/>
          <w:szCs w:val="20"/>
        </w:rPr>
        <w:t xml:space="preserve"> entendido como capacidad</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Etimológicamente, el infinitivo latino </w:t>
      </w:r>
      <w:r w:rsidRPr="00AC5AEE">
        <w:rPr>
          <w:rFonts w:ascii="Times" w:eastAsia="Times" w:hAnsi="Times" w:cs="Times New Roman"/>
          <w:i/>
          <w:sz w:val="24"/>
          <w:szCs w:val="20"/>
          <w:lang w:eastAsia="es-EC"/>
        </w:rPr>
        <w:t>posse</w:t>
      </w:r>
      <w:r w:rsidRPr="00AC5AEE">
        <w:rPr>
          <w:rFonts w:ascii="Times" w:eastAsia="Times" w:hAnsi="Times" w:cs="Times New Roman"/>
          <w:sz w:val="24"/>
          <w:szCs w:val="20"/>
          <w:lang w:eastAsia="es-EC"/>
        </w:rPr>
        <w:t xml:space="preserve">, cuyo significado remite a la </w:t>
      </w:r>
      <w:r w:rsidRPr="00D97688">
        <w:rPr>
          <w:rFonts w:ascii="Times" w:eastAsia="Times" w:hAnsi="Times" w:cs="Times New Roman"/>
          <w:sz w:val="24"/>
          <w:szCs w:val="20"/>
          <w:highlight w:val="yellow"/>
          <w:lang w:eastAsia="es-EC"/>
        </w:rPr>
        <w:t>capacidad de realizar algo</w:t>
      </w:r>
      <w:r w:rsidRPr="00AC5AEE">
        <w:rPr>
          <w:rFonts w:ascii="Times" w:eastAsia="Times" w:hAnsi="Times" w:cs="Times New Roman"/>
          <w:sz w:val="24"/>
          <w:szCs w:val="20"/>
          <w:lang w:eastAsia="es-EC"/>
        </w:rPr>
        <w:t xml:space="preserve">, al hecho de </w:t>
      </w:r>
      <w:r w:rsidRPr="00D97688">
        <w:rPr>
          <w:rFonts w:ascii="Times" w:eastAsia="Times" w:hAnsi="Times" w:cs="Times New Roman"/>
          <w:sz w:val="24"/>
          <w:szCs w:val="20"/>
          <w:highlight w:val="yellow"/>
          <w:lang w:eastAsia="es-EC"/>
        </w:rPr>
        <w:t>tener la fuerza para hacerlo</w:t>
      </w:r>
      <w:r w:rsidRPr="00AC5AEE">
        <w:rPr>
          <w:rFonts w:ascii="Times" w:eastAsia="Times" w:hAnsi="Times" w:cs="Times New Roman"/>
          <w:sz w:val="24"/>
          <w:szCs w:val="20"/>
          <w:lang w:eastAsia="es-EC"/>
        </w:rPr>
        <w:t xml:space="preserve">, respalda esa primera representación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que atraviesa el pensamiento moderno. En una célebre definición enunciada tempranamente en el </w:t>
      </w:r>
      <w:r w:rsidRPr="00AC5AEE">
        <w:rPr>
          <w:rFonts w:ascii="Times" w:eastAsia="Times" w:hAnsi="Times" w:cs="Times New Roman"/>
          <w:i/>
          <w:sz w:val="24"/>
          <w:szCs w:val="20"/>
          <w:lang w:eastAsia="es-EC"/>
        </w:rPr>
        <w:t>Leviathan</w:t>
      </w:r>
      <w:r w:rsidRPr="00AC5AEE">
        <w:rPr>
          <w:rFonts w:ascii="Times" w:eastAsia="Times" w:hAnsi="Times" w:cs="Times New Roman"/>
          <w:sz w:val="24"/>
          <w:szCs w:val="20"/>
          <w:lang w:eastAsia="es-EC"/>
        </w:rPr>
        <w:t xml:space="preserve">, </w:t>
      </w:r>
      <w:r w:rsidRPr="00D97688">
        <w:rPr>
          <w:rFonts w:ascii="Times" w:eastAsia="Times" w:hAnsi="Times" w:cs="Times New Roman"/>
          <w:sz w:val="24"/>
          <w:szCs w:val="20"/>
          <w:highlight w:val="yellow"/>
          <w:lang w:eastAsia="es-EC"/>
        </w:rPr>
        <w:t>Thomas Hobbes</w:t>
      </w:r>
      <w:r w:rsidRPr="00AC5AEE">
        <w:rPr>
          <w:rFonts w:ascii="Times" w:eastAsia="Times" w:hAnsi="Times" w:cs="Times New Roman"/>
          <w:sz w:val="24"/>
          <w:szCs w:val="20"/>
          <w:lang w:eastAsia="es-EC"/>
        </w:rPr>
        <w:t xml:space="preserve"> considera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que alguien tiene como </w:t>
      </w:r>
      <w:r w:rsidRPr="005E01F6">
        <w:rPr>
          <w:rFonts w:ascii="Times" w:eastAsia="Times" w:hAnsi="Times" w:cs="Times New Roman"/>
          <w:sz w:val="24"/>
          <w:szCs w:val="20"/>
          <w:highlight w:val="yellow"/>
          <w:lang w:eastAsia="es-EC"/>
        </w:rPr>
        <w:t>“sus medios presentes para obtener algún futuro y aparente bien”</w:t>
      </w:r>
      <w:r w:rsidRPr="00AC5AEE">
        <w:rPr>
          <w:rFonts w:ascii="Times" w:eastAsia="Times" w:hAnsi="Times" w:cs="Times New Roman"/>
          <w:sz w:val="12"/>
          <w:szCs w:val="20"/>
          <w:vertAlign w:val="superscript"/>
          <w:lang w:eastAsia="es-EC"/>
        </w:rPr>
        <w:t>2</w:t>
      </w:r>
      <w:r w:rsidRPr="00AC5AEE">
        <w:rPr>
          <w:rFonts w:ascii="Times" w:eastAsia="Times" w:hAnsi="Times" w:cs="Times New Roman"/>
          <w:sz w:val="24"/>
          <w:szCs w:val="20"/>
          <w:lang w:eastAsia="es-EC"/>
        </w:rPr>
        <w:t xml:space="preserve">. La cantidad de recursos disponibles a los cuales es posible recurrir para alcanzar un objetivo supuestamente deseable, resume así esta representación cuantitativa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que va a suscitar posteriormente no sólo adhesión sino también crítica y reservas.</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En la perspectiva hobbesiana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lo que interesa fundamentalmente es su ejercicio potencial o efectivo: </w:t>
      </w:r>
      <w:r w:rsidRPr="005E01F6">
        <w:rPr>
          <w:rFonts w:ascii="Times" w:eastAsia="Times" w:hAnsi="Times" w:cs="Times New Roman"/>
          <w:sz w:val="24"/>
          <w:szCs w:val="20"/>
          <w:highlight w:val="yellow"/>
          <w:lang w:eastAsia="es-EC"/>
        </w:rPr>
        <w:t>“</w:t>
      </w:r>
      <w:r w:rsidRPr="005E01F6">
        <w:rPr>
          <w:rFonts w:ascii="Times" w:eastAsia="Times" w:hAnsi="Times" w:cs="Times New Roman"/>
          <w:i/>
          <w:sz w:val="24"/>
          <w:szCs w:val="20"/>
          <w:highlight w:val="yellow"/>
          <w:lang w:eastAsia="es-EC"/>
        </w:rPr>
        <w:t>tener</w:t>
      </w:r>
      <w:r w:rsidRPr="005E01F6">
        <w:rPr>
          <w:rFonts w:ascii="Times" w:eastAsia="Times" w:hAnsi="Times" w:cs="Times New Roman"/>
          <w:sz w:val="24"/>
          <w:szCs w:val="20"/>
          <w:highlight w:val="yellow"/>
          <w:lang w:eastAsia="es-EC"/>
        </w:rPr>
        <w:t xml:space="preserve"> la capacidad o la potencia para hacer algo, </w:t>
      </w:r>
      <w:r w:rsidRPr="005E01F6">
        <w:rPr>
          <w:rFonts w:ascii="Times" w:eastAsia="Times" w:hAnsi="Times" w:cs="Times New Roman"/>
          <w:i/>
          <w:sz w:val="24"/>
          <w:szCs w:val="20"/>
          <w:highlight w:val="yellow"/>
          <w:lang w:eastAsia="es-EC"/>
        </w:rPr>
        <w:t>ejercer</w:t>
      </w:r>
      <w:r w:rsidRPr="005E01F6">
        <w:rPr>
          <w:rFonts w:ascii="Times" w:eastAsia="Times" w:hAnsi="Times" w:cs="Times New Roman"/>
          <w:sz w:val="24"/>
          <w:szCs w:val="20"/>
          <w:highlight w:val="yellow"/>
          <w:lang w:eastAsia="es-EC"/>
        </w:rPr>
        <w:t xml:space="preserve"> el poder para realizarlo”</w:t>
      </w:r>
      <w:r w:rsidRPr="00AC5AEE">
        <w:rPr>
          <w:rFonts w:ascii="Times" w:eastAsia="Times" w:hAnsi="Times" w:cs="Times New Roman"/>
          <w:sz w:val="12"/>
          <w:szCs w:val="20"/>
          <w:vertAlign w:val="superscript"/>
          <w:lang w:eastAsia="es-EC"/>
        </w:rPr>
        <w:t>3</w:t>
      </w:r>
      <w:r w:rsidRPr="00AC5AEE">
        <w:rPr>
          <w:rFonts w:ascii="Times" w:eastAsia="Times" w:hAnsi="Times" w:cs="Times New Roman"/>
          <w:sz w:val="24"/>
          <w:szCs w:val="20"/>
          <w:lang w:eastAsia="es-EC"/>
        </w:rPr>
        <w:t xml:space="preserve">. Mediante su teoría contractualista, Hobbes ha resuelto </w:t>
      </w:r>
      <w:r w:rsidRPr="00AC5AEE">
        <w:rPr>
          <w:rFonts w:ascii="Times" w:eastAsia="Times" w:hAnsi="Times" w:cs="Times New Roman"/>
          <w:i/>
          <w:sz w:val="24"/>
          <w:szCs w:val="20"/>
          <w:lang w:eastAsia="es-EC"/>
        </w:rPr>
        <w:t>ab initio</w:t>
      </w:r>
      <w:r w:rsidRPr="00AC5AEE">
        <w:rPr>
          <w:rFonts w:ascii="Times" w:eastAsia="Times" w:hAnsi="Times" w:cs="Times New Roman"/>
          <w:sz w:val="24"/>
          <w:szCs w:val="20"/>
          <w:lang w:eastAsia="es-EC"/>
        </w:rPr>
        <w:t xml:space="preserve"> el problema de su justificación o de su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"legitimidad"</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legitimidad</w:t>
      </w:r>
      <w:r w:rsidRPr="00AC5AEE">
        <w:rPr>
          <w:rFonts w:ascii="Times" w:eastAsia="Times" w:hAnsi="Times" w:cs="Times New Roman"/>
          <w:sz w:val="24"/>
          <w:szCs w:val="20"/>
          <w:lang w:eastAsia="es-EC"/>
        </w:rPr>
        <w:t xml:space="preserve">. Ante la inseguridad que habría privado en el estado natural, fruto del estado permanente de guerra en que habrían vivido, los hombres renuncian a sus libertades en forma prácticamente irreversible e incondicional ante la figura del soberano, que más que un monstruo bíblico se convierte, según las palabras de Hobbes en un “dios mortal” que brinda así la paz y la protección para todos los que han suscrito ese pacto indisoluble. Para Hobbes, por consiguiente, </w:t>
      </w:r>
      <w:r w:rsidRPr="005E01F6">
        <w:rPr>
          <w:rFonts w:ascii="Times" w:eastAsia="Times" w:hAnsi="Times" w:cs="Times New Roman"/>
          <w:sz w:val="24"/>
          <w:szCs w:val="20"/>
          <w:highlight w:val="yellow"/>
          <w:lang w:eastAsia="es-EC"/>
        </w:rPr>
        <w:t xml:space="preserve">la institución originaria de ese pacto asegura la </w:t>
      </w:r>
      <w:r w:rsidRPr="005E01F6">
        <w:rPr>
          <w:rFonts w:ascii="Times" w:eastAsia="Times" w:hAnsi="Times" w:cs="Times New Roman"/>
          <w:sz w:val="24"/>
          <w:szCs w:val="20"/>
          <w:highlight w:val="yellow"/>
          <w:lang w:val="en-US" w:eastAsia="es-EC"/>
        </w:rPr>
        <w:fldChar w:fldCharType="begin"/>
      </w:r>
      <w:r w:rsidRPr="005E01F6">
        <w:rPr>
          <w:rFonts w:ascii="Times" w:eastAsia="Times" w:hAnsi="Times" w:cs="Times New Roman"/>
          <w:sz w:val="24"/>
          <w:szCs w:val="20"/>
          <w:highlight w:val="yellow"/>
          <w:lang w:eastAsia="es-EC"/>
        </w:rPr>
        <w:instrText>xe "legitimidad"</w:instrText>
      </w:r>
      <w:r w:rsidRPr="005E01F6">
        <w:rPr>
          <w:rFonts w:ascii="Times" w:eastAsia="Times" w:hAnsi="Times" w:cs="Times New Roman"/>
          <w:sz w:val="24"/>
          <w:szCs w:val="20"/>
          <w:highlight w:val="yellow"/>
          <w:lang w:val="en-US" w:eastAsia="es-EC"/>
        </w:rPr>
        <w:fldChar w:fldCharType="end"/>
      </w:r>
      <w:r w:rsidRPr="005E01F6">
        <w:rPr>
          <w:rFonts w:ascii="Helvetica" w:eastAsia="Times" w:hAnsi="Helvetica" w:cs="Helvetica"/>
          <w:i/>
          <w:sz w:val="18"/>
          <w:szCs w:val="20"/>
          <w:highlight w:val="yellow"/>
          <w:lang w:eastAsia="es-EC"/>
        </w:rPr>
        <w:t>legitimidad</w:t>
      </w:r>
      <w:r w:rsidRPr="005E01F6">
        <w:rPr>
          <w:rFonts w:ascii="Times" w:eastAsia="Times" w:hAnsi="Times" w:cs="Times New Roman"/>
          <w:sz w:val="24"/>
          <w:szCs w:val="20"/>
          <w:highlight w:val="yellow"/>
          <w:lang w:eastAsia="es-EC"/>
        </w:rPr>
        <w:t xml:space="preserve"> del </w:t>
      </w:r>
      <w:r w:rsidRPr="005E01F6">
        <w:rPr>
          <w:rFonts w:ascii="Times" w:eastAsia="Times" w:hAnsi="Times" w:cs="Times New Roman"/>
          <w:sz w:val="24"/>
          <w:szCs w:val="20"/>
          <w:highlight w:val="yellow"/>
          <w:lang w:val="en-US" w:eastAsia="es-EC"/>
        </w:rPr>
        <w:fldChar w:fldCharType="begin"/>
      </w:r>
      <w:r w:rsidRPr="005E01F6">
        <w:rPr>
          <w:rFonts w:ascii="Times" w:eastAsia="Times" w:hAnsi="Times" w:cs="Times New Roman"/>
          <w:sz w:val="24"/>
          <w:szCs w:val="20"/>
          <w:highlight w:val="yellow"/>
          <w:lang w:eastAsia="es-EC"/>
        </w:rPr>
        <w:instrText>xe "poder"</w:instrText>
      </w:r>
      <w:r w:rsidRPr="005E01F6">
        <w:rPr>
          <w:rFonts w:ascii="Times" w:eastAsia="Times" w:hAnsi="Times" w:cs="Times New Roman"/>
          <w:sz w:val="24"/>
          <w:szCs w:val="20"/>
          <w:highlight w:val="yellow"/>
          <w:lang w:val="en-US" w:eastAsia="es-EC"/>
        </w:rPr>
        <w:fldChar w:fldCharType="end"/>
      </w:r>
      <w:r w:rsidRPr="005E01F6">
        <w:rPr>
          <w:rFonts w:ascii="Helvetica" w:eastAsia="Times" w:hAnsi="Helvetica" w:cs="Helvetica"/>
          <w:i/>
          <w:sz w:val="18"/>
          <w:szCs w:val="20"/>
          <w:highlight w:val="yellow"/>
          <w:lang w:eastAsia="es-EC"/>
        </w:rPr>
        <w:t>poder</w:t>
      </w:r>
      <w:r w:rsidRPr="005E01F6">
        <w:rPr>
          <w:rFonts w:ascii="Times" w:eastAsia="Times" w:hAnsi="Times" w:cs="Times New Roman"/>
          <w:sz w:val="24"/>
          <w:szCs w:val="20"/>
          <w:highlight w:val="yellow"/>
          <w:lang w:eastAsia="es-EC"/>
        </w:rPr>
        <w:t xml:space="preserve"> soberano</w:t>
      </w:r>
      <w:r w:rsidRPr="00AC5AEE">
        <w:rPr>
          <w:rFonts w:ascii="Times" w:eastAsia="Times" w:hAnsi="Times" w:cs="Times New Roman"/>
          <w:sz w:val="24"/>
          <w:szCs w:val="20"/>
          <w:lang w:eastAsia="es-EC"/>
        </w:rPr>
        <w:t xml:space="preserve">: no sin razón Hobbes ha sido visto como un teórico legitimador de la monarquía </w:t>
      </w:r>
      <w:proofErr w:type="gramStart"/>
      <w:r w:rsidRPr="00AC5AEE">
        <w:rPr>
          <w:rFonts w:ascii="Times" w:eastAsia="Times" w:hAnsi="Times" w:cs="Times New Roman"/>
          <w:sz w:val="24"/>
          <w:szCs w:val="20"/>
          <w:lang w:eastAsia="es-EC"/>
        </w:rPr>
        <w:t>absoluta</w:t>
      </w:r>
      <w:r w:rsidRPr="00AC5AEE">
        <w:rPr>
          <w:rFonts w:ascii="Times" w:eastAsia="Times" w:hAnsi="Times" w:cs="Times New Roman"/>
          <w:sz w:val="12"/>
          <w:szCs w:val="20"/>
          <w:vertAlign w:val="superscript"/>
          <w:lang w:eastAsia="es-EC"/>
        </w:rPr>
        <w:t>4 </w:t>
      </w:r>
      <w:r w:rsidRPr="00AC5AEE">
        <w:rPr>
          <w:rFonts w:ascii="Times" w:eastAsia="Times" w:hAnsi="Times" w:cs="Times New Roman"/>
          <w:sz w:val="24"/>
          <w:szCs w:val="20"/>
          <w:lang w:eastAsia="es-EC"/>
        </w:rPr>
        <w:t>.</w:t>
      </w:r>
      <w:proofErr w:type="gramEnd"/>
      <w:r w:rsidRPr="00AC5AEE">
        <w:rPr>
          <w:rFonts w:ascii="Times" w:eastAsia="Times" w:hAnsi="Times" w:cs="Times New Roman"/>
          <w:sz w:val="24"/>
          <w:szCs w:val="20"/>
          <w:lang w:eastAsia="es-EC"/>
        </w:rPr>
        <w:t xml:space="preserve"> Lo que resulta en todo caso original es que, frente a los filósofos y teólogos medievales que pretendían fundar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en fuentes divinas, Hobbes le encuentra un arraigo terreno en la necesidad y en la fuerza de ese pacto social. El análisis del fenómeno del </w:t>
      </w:r>
      <w:r w:rsidRPr="005E01F6">
        <w:rPr>
          <w:rFonts w:ascii="Times" w:eastAsia="Times" w:hAnsi="Times" w:cs="Times New Roman"/>
          <w:sz w:val="24"/>
          <w:szCs w:val="20"/>
          <w:highlight w:val="yellow"/>
          <w:lang w:val="en-US" w:eastAsia="es-EC"/>
        </w:rPr>
        <w:fldChar w:fldCharType="begin"/>
      </w:r>
      <w:r w:rsidRPr="005E01F6">
        <w:rPr>
          <w:rFonts w:ascii="Times" w:eastAsia="Times" w:hAnsi="Times" w:cs="Times New Roman"/>
          <w:sz w:val="24"/>
          <w:szCs w:val="20"/>
          <w:highlight w:val="yellow"/>
          <w:lang w:eastAsia="es-EC"/>
        </w:rPr>
        <w:instrText>xe "poder"</w:instrText>
      </w:r>
      <w:r w:rsidRPr="005E01F6">
        <w:rPr>
          <w:rFonts w:ascii="Times" w:eastAsia="Times" w:hAnsi="Times" w:cs="Times New Roman"/>
          <w:sz w:val="24"/>
          <w:szCs w:val="20"/>
          <w:highlight w:val="yellow"/>
          <w:lang w:val="en-US" w:eastAsia="es-EC"/>
        </w:rPr>
        <w:fldChar w:fldCharType="end"/>
      </w:r>
      <w:r w:rsidRPr="005E01F6">
        <w:rPr>
          <w:rFonts w:ascii="Helvetica" w:eastAsia="Times" w:hAnsi="Helvetica" w:cs="Helvetica"/>
          <w:i/>
          <w:sz w:val="18"/>
          <w:szCs w:val="20"/>
          <w:highlight w:val="yellow"/>
          <w:lang w:eastAsia="es-EC"/>
        </w:rPr>
        <w:t>poder</w:t>
      </w:r>
      <w:r w:rsidRPr="005E01F6">
        <w:rPr>
          <w:rFonts w:ascii="Times" w:eastAsia="Times" w:hAnsi="Times" w:cs="Times New Roman"/>
          <w:sz w:val="24"/>
          <w:szCs w:val="20"/>
          <w:highlight w:val="yellow"/>
          <w:lang w:eastAsia="es-EC"/>
        </w:rPr>
        <w:t xml:space="preserve"> adquiere así una clara connotación contractual y jurídica</w:t>
      </w:r>
      <w:r w:rsidRPr="00AC5AEE">
        <w:rPr>
          <w:rFonts w:ascii="Times" w:eastAsia="Times" w:hAnsi="Times" w:cs="Times New Roman"/>
          <w:sz w:val="24"/>
          <w:szCs w:val="20"/>
          <w:lang w:eastAsia="es-EC"/>
        </w:rPr>
        <w:t xml:space="preserve"> que permeará el debate filosófico moderno.</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El esfuerzo teórico de Max </w:t>
      </w:r>
      <w:r w:rsidRPr="005E01F6">
        <w:rPr>
          <w:rFonts w:ascii="Times" w:eastAsia="Times" w:hAnsi="Times" w:cs="Times New Roman"/>
          <w:sz w:val="24"/>
          <w:szCs w:val="20"/>
          <w:highlight w:val="cyan"/>
          <w:lang w:eastAsia="es-EC"/>
        </w:rPr>
        <w:t>Weber</w:t>
      </w:r>
      <w:r w:rsidRPr="00AC5AEE">
        <w:rPr>
          <w:rFonts w:ascii="Times" w:eastAsia="Times" w:hAnsi="Times" w:cs="Times New Roman"/>
          <w:sz w:val="24"/>
          <w:szCs w:val="20"/>
          <w:lang w:eastAsia="es-EC"/>
        </w:rPr>
        <w:t xml:space="preserve">, el más importante sociólogo político del siglo XX, dará en cierta forma </w:t>
      </w:r>
      <w:r w:rsidRPr="005E01F6">
        <w:rPr>
          <w:rFonts w:ascii="Times" w:eastAsia="Times" w:hAnsi="Times" w:cs="Times New Roman"/>
          <w:sz w:val="24"/>
          <w:szCs w:val="20"/>
          <w:highlight w:val="cyan"/>
          <w:lang w:eastAsia="es-EC"/>
        </w:rPr>
        <w:t>continuidad a esa reflexión</w:t>
      </w:r>
      <w:r w:rsidRPr="00AC5AEE">
        <w:rPr>
          <w:rFonts w:ascii="Times" w:eastAsia="Times" w:hAnsi="Times" w:cs="Times New Roman"/>
          <w:sz w:val="24"/>
          <w:szCs w:val="20"/>
          <w:lang w:eastAsia="es-EC"/>
        </w:rPr>
        <w:t xml:space="preserve"> iniciada tempranamente y romperá, al mismo tiempo, con algunos de esos presupuestos clásicos. La definición que Weber propone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w:t>
      </w:r>
      <w:r w:rsidRPr="00AC5AEE">
        <w:rPr>
          <w:rFonts w:ascii="Times" w:eastAsia="Times" w:hAnsi="Times" w:cs="Times New Roman"/>
          <w:i/>
          <w:sz w:val="24"/>
          <w:szCs w:val="20"/>
          <w:lang w:eastAsia="es-EC"/>
        </w:rPr>
        <w:t>Macht</w:t>
      </w:r>
      <w:r w:rsidRPr="00AC5AEE">
        <w:rPr>
          <w:rFonts w:ascii="Times" w:eastAsia="Times" w:hAnsi="Times" w:cs="Times New Roman"/>
          <w:sz w:val="24"/>
          <w:szCs w:val="20"/>
          <w:lang w:eastAsia="es-EC"/>
        </w:rPr>
        <w:t xml:space="preserve">) reitera algunos de esos elementos e introduce otros nuevos. Cuando Weber define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como </w:t>
      </w:r>
      <w:r w:rsidRPr="005E01F6">
        <w:rPr>
          <w:rFonts w:ascii="Times" w:eastAsia="Times" w:hAnsi="Times" w:cs="Times New Roman"/>
          <w:sz w:val="24"/>
          <w:szCs w:val="20"/>
          <w:highlight w:val="cyan"/>
          <w:lang w:eastAsia="es-EC"/>
        </w:rPr>
        <w:t>“la probabilidad de imponer la propia voluntad, dentro de una relación social, aun contra toda resistencia y cualquiera que sea el fundamento de esa probabilidad”</w:t>
      </w:r>
      <w:r w:rsidRPr="00AC5AEE">
        <w:rPr>
          <w:rFonts w:ascii="Times" w:eastAsia="Times" w:hAnsi="Times" w:cs="Times New Roman"/>
          <w:sz w:val="12"/>
          <w:szCs w:val="20"/>
          <w:vertAlign w:val="superscript"/>
          <w:lang w:eastAsia="es-EC"/>
        </w:rPr>
        <w:t>5</w:t>
      </w:r>
      <w:r w:rsidRPr="00AC5AEE">
        <w:rPr>
          <w:rFonts w:ascii="Times" w:eastAsia="Times" w:hAnsi="Times" w:cs="Times New Roman"/>
          <w:sz w:val="24"/>
          <w:szCs w:val="20"/>
          <w:lang w:eastAsia="es-EC"/>
        </w:rPr>
        <w:t xml:space="preserve">, subraya algunos rasgos que aparecían en la definición de Hobbes, como el carácter intencional y voluntario de esas acciones de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pero además </w:t>
      </w:r>
      <w:r w:rsidRPr="005E01F6">
        <w:rPr>
          <w:rFonts w:ascii="Times" w:eastAsia="Times" w:hAnsi="Times" w:cs="Times New Roman"/>
          <w:sz w:val="24"/>
          <w:szCs w:val="20"/>
          <w:highlight w:val="cyan"/>
          <w:lang w:eastAsia="es-EC"/>
        </w:rPr>
        <w:t>destaca otros elementos</w:t>
      </w:r>
      <w:r w:rsidRPr="00AC5AEE">
        <w:rPr>
          <w:rFonts w:ascii="Times" w:eastAsia="Times" w:hAnsi="Times" w:cs="Times New Roman"/>
          <w:sz w:val="24"/>
          <w:szCs w:val="20"/>
          <w:lang w:eastAsia="es-EC"/>
        </w:rPr>
        <w:t xml:space="preserve"> a los cuales no se había prestado igual atención: </w:t>
      </w:r>
      <w:r w:rsidRPr="005E01F6">
        <w:rPr>
          <w:rFonts w:ascii="Times" w:eastAsia="Times" w:hAnsi="Times" w:cs="Times New Roman"/>
          <w:sz w:val="24"/>
          <w:szCs w:val="20"/>
          <w:highlight w:val="cyan"/>
          <w:lang w:eastAsia="es-EC"/>
        </w:rPr>
        <w:t>1) la probabilidad efectiva de hacer valer esa voluntad a pesar de las resistencias reales o potenciales del más variado orden</w:t>
      </w:r>
      <w:r w:rsidRPr="00AC5AEE">
        <w:rPr>
          <w:rFonts w:ascii="Times" w:eastAsia="Times" w:hAnsi="Times" w:cs="Times New Roman"/>
          <w:sz w:val="24"/>
          <w:szCs w:val="20"/>
          <w:lang w:eastAsia="es-EC"/>
        </w:rPr>
        <w:t xml:space="preserve"> y </w:t>
      </w:r>
      <w:r w:rsidRPr="005E01F6">
        <w:rPr>
          <w:rFonts w:ascii="Times" w:eastAsia="Times" w:hAnsi="Times" w:cs="Times New Roman"/>
          <w:sz w:val="24"/>
          <w:szCs w:val="20"/>
          <w:highlight w:val="cyan"/>
          <w:lang w:eastAsia="es-EC"/>
        </w:rPr>
        <w:t xml:space="preserve">2) el ejercicio de ese </w:t>
      </w:r>
      <w:r w:rsidRPr="005E01F6">
        <w:rPr>
          <w:rFonts w:ascii="Times" w:eastAsia="Times" w:hAnsi="Times" w:cs="Times New Roman"/>
          <w:sz w:val="24"/>
          <w:szCs w:val="20"/>
          <w:highlight w:val="cyan"/>
          <w:lang w:val="en-US" w:eastAsia="es-EC"/>
        </w:rPr>
        <w:fldChar w:fldCharType="begin"/>
      </w:r>
      <w:r w:rsidRPr="005E01F6">
        <w:rPr>
          <w:rFonts w:ascii="Times" w:eastAsia="Times" w:hAnsi="Times" w:cs="Times New Roman"/>
          <w:sz w:val="24"/>
          <w:szCs w:val="20"/>
          <w:highlight w:val="cyan"/>
          <w:lang w:eastAsia="es-EC"/>
        </w:rPr>
        <w:instrText>xe "poder"</w:instrText>
      </w:r>
      <w:r w:rsidRPr="005E01F6">
        <w:rPr>
          <w:rFonts w:ascii="Times" w:eastAsia="Times" w:hAnsi="Times" w:cs="Times New Roman"/>
          <w:sz w:val="24"/>
          <w:szCs w:val="20"/>
          <w:highlight w:val="cyan"/>
          <w:lang w:val="en-US" w:eastAsia="es-EC"/>
        </w:rPr>
        <w:fldChar w:fldCharType="end"/>
      </w:r>
      <w:r w:rsidRPr="005E01F6">
        <w:rPr>
          <w:rFonts w:ascii="Helvetica" w:eastAsia="Times" w:hAnsi="Helvetica" w:cs="Helvetica"/>
          <w:i/>
          <w:sz w:val="18"/>
          <w:szCs w:val="20"/>
          <w:highlight w:val="cyan"/>
          <w:lang w:eastAsia="es-EC"/>
        </w:rPr>
        <w:t>poder</w:t>
      </w:r>
      <w:r w:rsidRPr="005E01F6">
        <w:rPr>
          <w:rFonts w:ascii="Times" w:eastAsia="Times" w:hAnsi="Times" w:cs="Times New Roman"/>
          <w:sz w:val="24"/>
          <w:szCs w:val="20"/>
          <w:highlight w:val="cyan"/>
          <w:lang w:eastAsia="es-EC"/>
        </w:rPr>
        <w:t xml:space="preserve"> que puede tener un fundamento muy diverso y no parte, en modo alguno, de una legitimación de orden contractual</w:t>
      </w:r>
      <w:r w:rsidRPr="00AC5AEE">
        <w:rPr>
          <w:rFonts w:ascii="Times" w:eastAsia="Times" w:hAnsi="Times" w:cs="Times New Roman"/>
          <w:sz w:val="24"/>
          <w:szCs w:val="20"/>
          <w:lang w:eastAsia="es-EC"/>
        </w:rPr>
        <w:t xml:space="preserve"> como lo había supuesto Hobbes.</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Asimismo, la definición de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de Weber, se acompaña de la caracterización correlativa que él mismo hace del </w:t>
      </w:r>
      <w:r w:rsidRPr="005E01F6">
        <w:rPr>
          <w:rFonts w:ascii="Times" w:eastAsia="Times" w:hAnsi="Times" w:cs="Times New Roman"/>
          <w:sz w:val="24"/>
          <w:szCs w:val="20"/>
          <w:highlight w:val="cyan"/>
          <w:lang w:eastAsia="es-EC"/>
        </w:rPr>
        <w:t>fenómeno de la dominación</w:t>
      </w:r>
      <w:r w:rsidRPr="00AC5AEE">
        <w:rPr>
          <w:rFonts w:ascii="Times" w:eastAsia="Times" w:hAnsi="Times" w:cs="Times New Roman"/>
          <w:sz w:val="24"/>
          <w:szCs w:val="20"/>
          <w:lang w:eastAsia="es-EC"/>
        </w:rPr>
        <w:t xml:space="preserve"> (</w:t>
      </w:r>
      <w:r w:rsidRPr="00AC5AEE">
        <w:rPr>
          <w:rFonts w:ascii="Times" w:eastAsia="Times" w:hAnsi="Times" w:cs="Times New Roman"/>
          <w:i/>
          <w:sz w:val="24"/>
          <w:szCs w:val="20"/>
          <w:lang w:eastAsia="es-EC"/>
        </w:rPr>
        <w:t>Herrschaft</w:t>
      </w:r>
      <w:r w:rsidRPr="00AC5AEE">
        <w:rPr>
          <w:rFonts w:ascii="Times" w:eastAsia="Times" w:hAnsi="Times" w:cs="Times New Roman"/>
          <w:sz w:val="24"/>
          <w:szCs w:val="20"/>
          <w:lang w:eastAsia="es-EC"/>
        </w:rPr>
        <w:t xml:space="preserve">) entendida como la </w:t>
      </w:r>
      <w:bookmarkStart w:id="0" w:name="_GoBack"/>
      <w:r w:rsidRPr="005E01F6">
        <w:rPr>
          <w:rFonts w:ascii="Times" w:eastAsia="Times" w:hAnsi="Times" w:cs="Times New Roman"/>
          <w:sz w:val="24"/>
          <w:szCs w:val="20"/>
          <w:highlight w:val="cyan"/>
          <w:lang w:eastAsia="es-EC"/>
        </w:rPr>
        <w:t>“probabilidad de encontrar obediencia a un mandato de determinado contenido entre personas dadas”</w:t>
      </w:r>
      <w:bookmarkEnd w:id="0"/>
      <w:r w:rsidRPr="00AC5AEE">
        <w:rPr>
          <w:rFonts w:ascii="Times" w:eastAsia="Times" w:hAnsi="Times" w:cs="Times New Roman"/>
          <w:sz w:val="12"/>
          <w:szCs w:val="20"/>
          <w:vertAlign w:val="superscript"/>
          <w:lang w:eastAsia="es-EC"/>
        </w:rPr>
        <w:t>6</w:t>
      </w:r>
      <w:r w:rsidRPr="00AC5AEE">
        <w:rPr>
          <w:rFonts w:ascii="Times" w:eastAsia="Times" w:hAnsi="Times" w:cs="Times New Roman"/>
          <w:sz w:val="24"/>
          <w:szCs w:val="20"/>
          <w:lang w:eastAsia="es-EC"/>
        </w:rPr>
        <w:t xml:space="preserve">. De esta manera, la dominación restringe el campo de análisis del fenómeno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a su ejercicio efectivo, en la medida en que, la capacidad de mando se expresa mediante el acatamiento concreto de quienes obedecen o están dispuestos a obedecer determinadas órdenes. Como lo subraya Aron: “La dominación supone un cierto grado de institucionalización (sin la cual el dominante no se atrevería a mandar) pero el término de dominación evoca la relación directa entre el amo y el servidor más que la relación entre el gobernante y los gobernados”</w:t>
      </w:r>
      <w:r w:rsidRPr="00AC5AEE">
        <w:rPr>
          <w:rFonts w:ascii="Times" w:eastAsia="Times" w:hAnsi="Times" w:cs="Times New Roman"/>
          <w:sz w:val="12"/>
          <w:szCs w:val="20"/>
          <w:vertAlign w:val="superscript"/>
          <w:lang w:eastAsia="es-EC"/>
        </w:rPr>
        <w:t>7</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tabs>
          <w:tab w:val="left" w:pos="360"/>
        </w:tabs>
        <w:spacing w:line="268" w:lineRule="atLeast"/>
        <w:ind w:left="360" w:hanging="360"/>
        <w:rPr>
          <w:rFonts w:ascii="Times" w:eastAsia="Times New Roman" w:hAnsi="Times" w:cs="Times New Roman"/>
          <w:b/>
          <w:spacing w:val="15"/>
          <w:szCs w:val="20"/>
        </w:rPr>
      </w:pPr>
      <w:r w:rsidRPr="00AC5AEE">
        <w:rPr>
          <w:rFonts w:ascii="Times" w:eastAsia="Times New Roman" w:hAnsi="Times" w:cs="Times New Roman"/>
          <w:b/>
          <w:spacing w:val="15"/>
          <w:szCs w:val="20"/>
        </w:rPr>
        <w:t>II.</w:t>
      </w:r>
      <w:r w:rsidRPr="00AC5AEE">
        <w:rPr>
          <w:rFonts w:ascii="Times" w:eastAsia="Times New Roman" w:hAnsi="Times" w:cs="Times New Roman"/>
          <w:b/>
          <w:spacing w:val="15"/>
          <w:szCs w:val="20"/>
        </w:rPr>
        <w:tab/>
        <w:t xml:space="preserve"> El </w:t>
      </w:r>
      <w:r w:rsidRPr="00AC5AEE">
        <w:rPr>
          <w:rFonts w:ascii="Times" w:eastAsia="Times New Roman" w:hAnsi="Times" w:cs="Times New Roman"/>
          <w:b/>
          <w:spacing w:val="15"/>
          <w:szCs w:val="20"/>
          <w:lang w:val="en-US"/>
        </w:rPr>
        <w:fldChar w:fldCharType="begin"/>
      </w:r>
      <w:r w:rsidRPr="00AC5AEE">
        <w:rPr>
          <w:rFonts w:ascii="Times" w:eastAsia="Times New Roman" w:hAnsi="Times" w:cs="Times New Roman"/>
          <w:b/>
          <w:spacing w:val="15"/>
          <w:szCs w:val="20"/>
        </w:rPr>
        <w:instrText>xe "</w:instrText>
      </w:r>
      <w:r w:rsidRPr="00AC5AEE">
        <w:rPr>
          <w:rFonts w:ascii="Times" w:eastAsia="Times New Roman" w:hAnsi="Times" w:cs="Times New Roman"/>
          <w:b/>
          <w:sz w:val="24"/>
          <w:szCs w:val="20"/>
        </w:rPr>
        <w:instrText>poder"</w:instrText>
      </w:r>
      <w:r w:rsidRPr="00AC5AEE">
        <w:rPr>
          <w:rFonts w:ascii="Times" w:eastAsia="Times New Roman" w:hAnsi="Times" w:cs="Times New Roman"/>
          <w:b/>
          <w:spacing w:val="15"/>
          <w:szCs w:val="20"/>
          <w:lang w:val="en-US"/>
        </w:rPr>
        <w:fldChar w:fldCharType="end"/>
      </w:r>
      <w:r w:rsidRPr="00AC5AEE">
        <w:rPr>
          <w:rFonts w:ascii="Helvetica" w:eastAsia="Times New Roman" w:hAnsi="Helvetica" w:cs="Helvetica"/>
          <w:b/>
          <w:i/>
          <w:spacing w:val="15"/>
          <w:sz w:val="18"/>
          <w:szCs w:val="20"/>
        </w:rPr>
        <w:t>poder</w:t>
      </w:r>
      <w:r w:rsidRPr="00AC5AEE">
        <w:rPr>
          <w:rFonts w:ascii="Times" w:eastAsia="Times New Roman" w:hAnsi="Times" w:cs="Times New Roman"/>
          <w:b/>
          <w:spacing w:val="15"/>
          <w:szCs w:val="20"/>
        </w:rPr>
        <w:t xml:space="preserve"> fundado en el consentimiento</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Si hemos situado a Weber como un claro exponente de la tesis según la cual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es fundamentalmente una capacidad individual de lograr que los otros actúen en la forma deseada a pesar de su eventual resistencia, no podríamos tampoco obviar el hecho que Weber se ocupa asimismo con particular interés de aquellos fenómenos de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fundados en el consentimiento de los dominados. Weber conceptualiza precisamente como autoridad el ejercicio legítimo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Los motivos sin embargo para fundar esa obediencia de los dominados pueden ser de diversa índole. Weber distingue tres tipos básicos de dominación legítima: 1) la dominación tradicional fundada en la fuerza de la costumbre que conduce a aceptar el mando de quienes la costumbre señala; 2) la dominación carismática que descansa más bien en el reconocimiento o la atribución de condiciones o cualidades extraordinarias a algunos individuos a quienes se está dispuesto a seguir u obedecer y 3) la dominación legal que se fundamenta en las regulaciones y reglamentaciones formalmente instituidas y en los derechos a ejercer el mando que esas regulaciones establecen</w:t>
      </w:r>
      <w:r w:rsidRPr="00AC5AEE">
        <w:rPr>
          <w:rFonts w:ascii="Times" w:eastAsia="Times" w:hAnsi="Times" w:cs="Times New Roman"/>
          <w:sz w:val="12"/>
          <w:szCs w:val="20"/>
          <w:vertAlign w:val="superscript"/>
          <w:lang w:eastAsia="es-EC"/>
        </w:rPr>
        <w:t>8</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Sin embargo, para Weber,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no se reduce al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legítimo. Como él mismo lo afirma, no habría por qué suponer “que la obediencia a una dominación esté orientada primariamente (ni siquiera siempre) por la creencia en su legitimidad”</w:t>
      </w:r>
      <w:r w:rsidRPr="00AC5AEE">
        <w:rPr>
          <w:rFonts w:ascii="Times" w:eastAsia="Times" w:hAnsi="Times" w:cs="Times New Roman"/>
          <w:sz w:val="12"/>
          <w:szCs w:val="20"/>
          <w:vertAlign w:val="superscript"/>
          <w:lang w:eastAsia="es-EC"/>
        </w:rPr>
        <w:t>9</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A diferencia de lo afirmado por Weber, y sintetizando de una manera fiel y nítida esta segunda representación del poder, Hannah Arendt, la célebre filósofa política norteamericana de origen alemán, consideraba que, en sentido estricto,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sólo puede ser realmente efectivo, si incluye el consentimiento de los gobernados. Para Arendt, la sobrevivencia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está estrechamente ligada al grado de adhesión que logre suscitar y mantener en la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"ciudadanía"</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ciudadanía</w:t>
      </w:r>
      <w:r w:rsidRPr="00AC5AEE">
        <w:rPr>
          <w:rFonts w:ascii="Times" w:eastAsia="Times" w:hAnsi="Times" w:cs="Times New Roman"/>
          <w:sz w:val="24"/>
          <w:szCs w:val="20"/>
          <w:lang w:eastAsia="es-EC"/>
        </w:rPr>
        <w:t xml:space="preserve">. Mientras que Weber sostenía que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está referido siempre a la intencionalidad y a la voluntad del individuo que lo ejerce, Arend responde que “el poder no es nunca una propiedad individual. El poder pertenece al grupo y sobrevive sólo en la medida en que el grupo permanece. Cuando decimos de alguien que se encuentra ‘en el poder’, lo que queremos decir es que su investidura de poder proviene de un cierto número de personas que lo autorizan a actuar en su nombre”</w:t>
      </w:r>
      <w:r w:rsidRPr="00AC5AEE">
        <w:rPr>
          <w:rFonts w:ascii="Times" w:eastAsia="Times" w:hAnsi="Times" w:cs="Times New Roman"/>
          <w:sz w:val="12"/>
          <w:szCs w:val="20"/>
          <w:vertAlign w:val="superscript"/>
          <w:lang w:eastAsia="es-EC"/>
        </w:rPr>
        <w:t>10</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Si desaparece el sostén y el apoyo de la colectividad o del grupo,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termina por desvanecerse. Para Arendt, por consiguiente, la tiranía representa así el grado supremo de la violencia y el grado mínimo de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De ahí su aforismo paradójico según el cual, “La forma extrema de poder es todos contra uno y la forma extrema de violencia es uno </w:t>
      </w:r>
      <w:r w:rsidRPr="00AC5AEE">
        <w:rPr>
          <w:rFonts w:ascii="Times" w:eastAsia="Times" w:hAnsi="Times" w:cs="Times New Roman"/>
          <w:sz w:val="24"/>
          <w:szCs w:val="20"/>
          <w:lang w:eastAsia="es-EC"/>
        </w:rPr>
        <w:lastRenderedPageBreak/>
        <w:t>contra todos”</w:t>
      </w:r>
      <w:r w:rsidRPr="00AC5AEE">
        <w:rPr>
          <w:rFonts w:ascii="Times" w:eastAsia="Times" w:hAnsi="Times" w:cs="Times New Roman"/>
          <w:sz w:val="12"/>
          <w:szCs w:val="20"/>
          <w:vertAlign w:val="superscript"/>
          <w:lang w:eastAsia="es-EC"/>
        </w:rPr>
        <w:t>11</w:t>
      </w:r>
      <w:r w:rsidRPr="00AC5AEE">
        <w:rPr>
          <w:rFonts w:ascii="Times" w:eastAsia="Times" w:hAnsi="Times" w:cs="Times New Roman"/>
          <w:sz w:val="24"/>
          <w:szCs w:val="20"/>
          <w:lang w:eastAsia="es-EC"/>
        </w:rPr>
        <w:t xml:space="preserve">. El tema y la preocupación por la forma tiránica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w:t>
      </w:r>
      <w:proofErr w:type="gramStart"/>
      <w:r w:rsidRPr="00AC5AEE">
        <w:rPr>
          <w:rFonts w:ascii="Times" w:eastAsia="Times" w:hAnsi="Times" w:cs="Times New Roman"/>
          <w:sz w:val="24"/>
          <w:szCs w:val="20"/>
          <w:lang w:eastAsia="es-EC"/>
        </w:rPr>
        <w:t>está</w:t>
      </w:r>
      <w:proofErr w:type="gramEnd"/>
      <w:r w:rsidRPr="00AC5AEE">
        <w:rPr>
          <w:rFonts w:ascii="Times" w:eastAsia="Times" w:hAnsi="Times" w:cs="Times New Roman"/>
          <w:sz w:val="24"/>
          <w:szCs w:val="20"/>
          <w:lang w:eastAsia="es-EC"/>
        </w:rPr>
        <w:t xml:space="preserve"> sin duda en el centro de los autores que suscriben esta posición. En el pensamiento político moderno, la obra de John Locke es la mejor muestra de ello. Para Locke, la “tiranía es el ejercicio del poder fuera del Derecho, cosa que nadie debe hacer”</w:t>
      </w:r>
      <w:r w:rsidRPr="00AC5AEE">
        <w:rPr>
          <w:rFonts w:ascii="Times" w:eastAsia="Times" w:hAnsi="Times" w:cs="Times New Roman"/>
          <w:sz w:val="12"/>
          <w:szCs w:val="20"/>
          <w:vertAlign w:val="superscript"/>
          <w:lang w:eastAsia="es-EC"/>
        </w:rPr>
        <w:t>12</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Contrariamente a lo que había sostenido Hobbes en su teoría contractualista sobre la irreversibilidad del consentimiento frente a la figura del soberano, John Locke considera que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que se ha depositado en forma condicionada en el soberano, sólo tiene justificación si mediante esta forma se asegura la libertad y la propiedad de los individuos. Mientras que para Hobbes el objetivo del pacto es la seguridad y la protección de los individuos, para Locke los derechos individuales anteceden ontológicamente al contrato, el cual sólo queda justificado en la medida en que logra asegurar el ejercicio de esos derechos.</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Pero a diferencia de lo que argumentaba Hobbes, para quien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constituido se tornaba un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absoluto que no dependía ya de las voluntades individuales, Locke reitera que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civil depende del consentimiento renovado de la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"ciudadanía"</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ciudadanía</w:t>
      </w:r>
      <w:r w:rsidRPr="00AC5AEE">
        <w:rPr>
          <w:rFonts w:ascii="Times" w:eastAsia="Times" w:hAnsi="Times" w:cs="Times New Roman"/>
          <w:sz w:val="24"/>
          <w:szCs w:val="20"/>
          <w:lang w:eastAsia="es-EC"/>
        </w:rPr>
        <w:t>. Si el gobernante no asegura los fines que dieron lugar a ese contrato original, los ciudadanos pueden revocar ese pacto, en cuyo caso la resistencia es legítima: “únicamente debe oponerse la fuerza a la fuerza injusta e ilegal”</w:t>
      </w:r>
      <w:r w:rsidRPr="00AC5AEE">
        <w:rPr>
          <w:rFonts w:ascii="Times" w:eastAsia="Times" w:hAnsi="Times" w:cs="Times New Roman"/>
          <w:sz w:val="12"/>
          <w:szCs w:val="20"/>
          <w:vertAlign w:val="superscript"/>
          <w:lang w:eastAsia="es-EC"/>
        </w:rPr>
        <w:t>13</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tabs>
          <w:tab w:val="left" w:pos="360"/>
        </w:tabs>
        <w:spacing w:line="268" w:lineRule="atLeast"/>
        <w:ind w:left="360" w:hanging="360"/>
        <w:rPr>
          <w:rFonts w:ascii="Times" w:eastAsia="Times New Roman" w:hAnsi="Times" w:cs="Times New Roman"/>
          <w:b/>
          <w:spacing w:val="15"/>
          <w:szCs w:val="20"/>
        </w:rPr>
      </w:pPr>
      <w:r w:rsidRPr="00AC5AEE">
        <w:rPr>
          <w:rFonts w:ascii="Times" w:eastAsia="Times New Roman" w:hAnsi="Times" w:cs="Times New Roman"/>
          <w:b/>
          <w:spacing w:val="15"/>
          <w:szCs w:val="20"/>
        </w:rPr>
        <w:t>III.</w:t>
      </w:r>
      <w:r w:rsidRPr="00AC5AEE">
        <w:rPr>
          <w:rFonts w:ascii="Times" w:eastAsia="Times New Roman" w:hAnsi="Times" w:cs="Times New Roman"/>
          <w:b/>
          <w:spacing w:val="15"/>
          <w:szCs w:val="20"/>
        </w:rPr>
        <w:tab/>
        <w:t xml:space="preserve">El </w:t>
      </w:r>
      <w:r w:rsidRPr="00AC5AEE">
        <w:rPr>
          <w:rFonts w:ascii="Times" w:eastAsia="Times New Roman" w:hAnsi="Times" w:cs="Times New Roman"/>
          <w:b/>
          <w:spacing w:val="15"/>
          <w:szCs w:val="20"/>
          <w:lang w:val="en-US"/>
        </w:rPr>
        <w:fldChar w:fldCharType="begin"/>
      </w:r>
      <w:r w:rsidRPr="00AC5AEE">
        <w:rPr>
          <w:rFonts w:ascii="Times" w:eastAsia="Times New Roman" w:hAnsi="Times" w:cs="Times New Roman"/>
          <w:b/>
          <w:spacing w:val="15"/>
          <w:szCs w:val="20"/>
        </w:rPr>
        <w:instrText>xe "</w:instrText>
      </w:r>
      <w:r w:rsidRPr="00AC5AEE">
        <w:rPr>
          <w:rFonts w:ascii="Times" w:eastAsia="Times New Roman" w:hAnsi="Times" w:cs="Times New Roman"/>
          <w:b/>
          <w:sz w:val="24"/>
          <w:szCs w:val="20"/>
        </w:rPr>
        <w:instrText>poder"</w:instrText>
      </w:r>
      <w:r w:rsidRPr="00AC5AEE">
        <w:rPr>
          <w:rFonts w:ascii="Times" w:eastAsia="Times New Roman" w:hAnsi="Times" w:cs="Times New Roman"/>
          <w:b/>
          <w:spacing w:val="15"/>
          <w:szCs w:val="20"/>
          <w:lang w:val="en-US"/>
        </w:rPr>
        <w:fldChar w:fldCharType="end"/>
      </w:r>
      <w:r w:rsidRPr="00AC5AEE">
        <w:rPr>
          <w:rFonts w:ascii="Helvetica" w:eastAsia="Times New Roman" w:hAnsi="Helvetica" w:cs="Helvetica"/>
          <w:b/>
          <w:i/>
          <w:spacing w:val="15"/>
          <w:sz w:val="18"/>
          <w:szCs w:val="20"/>
        </w:rPr>
        <w:t>poder</w:t>
      </w:r>
      <w:r w:rsidRPr="00AC5AEE">
        <w:rPr>
          <w:rFonts w:ascii="Times" w:eastAsia="Times New Roman" w:hAnsi="Times" w:cs="Times New Roman"/>
          <w:b/>
          <w:spacing w:val="15"/>
          <w:szCs w:val="20"/>
        </w:rPr>
        <w:t xml:space="preserve"> como una característica ineludible de las </w:t>
      </w:r>
    </w:p>
    <w:p w:rsidR="00AC5AEE" w:rsidRPr="00AC5AEE" w:rsidRDefault="00AC5AEE" w:rsidP="00AC5AEE">
      <w:pPr>
        <w:tabs>
          <w:tab w:val="left" w:pos="360"/>
        </w:tabs>
        <w:spacing w:line="268" w:lineRule="atLeast"/>
        <w:ind w:left="360" w:hanging="360"/>
        <w:rPr>
          <w:rFonts w:ascii="Times" w:eastAsia="Times New Roman" w:hAnsi="Times" w:cs="Times New Roman"/>
          <w:b/>
          <w:spacing w:val="15"/>
          <w:szCs w:val="20"/>
        </w:rPr>
      </w:pPr>
      <w:r w:rsidRPr="00AC5AEE">
        <w:rPr>
          <w:rFonts w:ascii="Times" w:eastAsia="Times New Roman" w:hAnsi="Times" w:cs="Times New Roman"/>
          <w:b/>
          <w:spacing w:val="15"/>
          <w:szCs w:val="20"/>
        </w:rPr>
        <w:tab/>
        <w:t>relaciones sociales</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Si Weber fue quizás el más importante analista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en la primera mitad del Siglo XX, Foucault lo fue en la segunda mitad de ese siglo que recién concluye</w:t>
      </w:r>
      <w:r w:rsidRPr="00AC5AEE">
        <w:rPr>
          <w:rFonts w:ascii="Times" w:eastAsia="Times" w:hAnsi="Times" w:cs="Times New Roman"/>
          <w:sz w:val="12"/>
          <w:szCs w:val="20"/>
          <w:vertAlign w:val="superscript"/>
          <w:lang w:eastAsia="es-EC"/>
        </w:rPr>
        <w:t>14</w:t>
      </w:r>
      <w:r w:rsidRPr="00AC5AEE">
        <w:rPr>
          <w:rFonts w:ascii="Times" w:eastAsia="Times" w:hAnsi="Times" w:cs="Times New Roman"/>
          <w:sz w:val="24"/>
          <w:szCs w:val="20"/>
          <w:lang w:eastAsia="es-EC"/>
        </w:rPr>
        <w:t xml:space="preserve">. Pero a diferencia de Hobbes y del mismo Weber, para quienes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era una especie de característica emanada de quien lo ejerce, y a diferencia asimismo de Locke y de Arendt para quienes el problema central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era el tema de su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"legitimidad"</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legitimidad</w:t>
      </w:r>
      <w:r w:rsidRPr="00AC5AEE">
        <w:rPr>
          <w:rFonts w:ascii="Times" w:eastAsia="Times" w:hAnsi="Times" w:cs="Times New Roman"/>
          <w:sz w:val="24"/>
          <w:szCs w:val="20"/>
          <w:lang w:eastAsia="es-EC"/>
        </w:rPr>
        <w:t>, para Michel Foucault, quien intenta, según lo subraya Hiddens una “alternativa radical”</w:t>
      </w:r>
      <w:r w:rsidRPr="00AC5AEE">
        <w:rPr>
          <w:rFonts w:ascii="Times" w:eastAsia="Times" w:hAnsi="Times" w:cs="Times New Roman"/>
          <w:sz w:val="12"/>
          <w:szCs w:val="20"/>
          <w:vertAlign w:val="superscript"/>
          <w:lang w:eastAsia="es-EC"/>
        </w:rPr>
        <w:t xml:space="preserve">15 </w:t>
      </w:r>
      <w:r w:rsidRPr="00AC5AEE">
        <w:rPr>
          <w:rFonts w:ascii="Times" w:eastAsia="Times" w:hAnsi="Times" w:cs="Times New Roman"/>
          <w:sz w:val="24"/>
          <w:szCs w:val="20"/>
          <w:lang w:eastAsia="es-EC"/>
        </w:rPr>
        <w:t xml:space="preserve">en su visión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habría que preguntarse más bien cómo se ejerce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mediante qué tecnologías y mediante qué procedimientos se ejerce ese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y qué consecuencias y efectos se derivan de ello.</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En un primer momento de sus investigaciones, Foucault intenta caracterizar el funcionamiento de esa micro-física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las relaciones que se establecen en el ámbito de instituciones sociales muy diversas (asilos, prisiones, hospitales, escuelas), con el fin de señalar los procedimientos comunes o similares mediante los cuales aparece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12"/>
          <w:szCs w:val="20"/>
          <w:vertAlign w:val="superscript"/>
          <w:lang w:eastAsia="es-EC"/>
        </w:rPr>
        <w:t>16</w:t>
      </w:r>
      <w:r w:rsidRPr="00AC5AEE">
        <w:rPr>
          <w:rFonts w:ascii="Times" w:eastAsia="Times" w:hAnsi="Times" w:cs="Times New Roman"/>
          <w:sz w:val="24"/>
          <w:szCs w:val="20"/>
          <w:lang w:eastAsia="es-EC"/>
        </w:rPr>
        <w:t>. De acuerdo con Foucault “el poder no es una institución, no es una estructura ni una fuerza de la que dispondrían algunos: es el nombre que se le da a una situación estratégica compleja en una sociedad dada”</w:t>
      </w:r>
      <w:r w:rsidRPr="00AC5AEE">
        <w:rPr>
          <w:rFonts w:ascii="Times" w:eastAsia="Times" w:hAnsi="Times" w:cs="Times New Roman"/>
          <w:sz w:val="12"/>
          <w:szCs w:val="20"/>
          <w:vertAlign w:val="superscript"/>
          <w:lang w:eastAsia="es-EC"/>
        </w:rPr>
        <w:t>17</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En la asimetría de las diversas y variadas relaciones que se presentan en una sociedad, en sus conflictos y sus luchas, así como en sus cristalizaciones institucionales, Foucault sostiene “que el poder es coextensivo al cuerpo social; no hay entre las mallas de su red playas de libertades elementales”</w:t>
      </w:r>
      <w:r w:rsidRPr="00AC5AEE">
        <w:rPr>
          <w:rFonts w:ascii="Times" w:eastAsia="Times" w:hAnsi="Times" w:cs="Times New Roman"/>
          <w:sz w:val="12"/>
          <w:szCs w:val="20"/>
          <w:vertAlign w:val="superscript"/>
          <w:lang w:eastAsia="es-EC"/>
        </w:rPr>
        <w:t>18</w:t>
      </w:r>
      <w:r w:rsidRPr="00AC5AEE">
        <w:rPr>
          <w:rFonts w:ascii="Times" w:eastAsia="Times" w:hAnsi="Times" w:cs="Times New Roman"/>
          <w:sz w:val="24"/>
          <w:szCs w:val="20"/>
          <w:lang w:eastAsia="es-EC"/>
        </w:rPr>
        <w:t xml:space="preserve">. Pero a la vez que Foucault postula que no es posible estar fuera de ese espacio estratégico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afirma “que no hay relaciones de poder sin resistencias, que estas son más reales y eficaces en cuanto se forman en el lugar exacto en que se ejercen las relaciones de poder”</w:t>
      </w:r>
      <w:r w:rsidRPr="00AC5AEE">
        <w:rPr>
          <w:rFonts w:ascii="Times" w:eastAsia="Times" w:hAnsi="Times" w:cs="Times New Roman"/>
          <w:sz w:val="12"/>
          <w:szCs w:val="20"/>
          <w:vertAlign w:val="superscript"/>
          <w:lang w:eastAsia="es-EC"/>
        </w:rPr>
        <w:t>19</w:t>
      </w:r>
      <w:r w:rsidRPr="00AC5AEE">
        <w:rPr>
          <w:rFonts w:ascii="Times" w:eastAsia="Times" w:hAnsi="Times" w:cs="Times New Roman"/>
          <w:sz w:val="24"/>
          <w:szCs w:val="20"/>
          <w:lang w:eastAsia="es-EC"/>
        </w:rPr>
        <w:t xml:space="preserve">. Quienes padecen el ejercicio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pueden a su vez actuar y de hecho actúan: las resistencias mencionadas por </w:t>
      </w:r>
      <w:r w:rsidRPr="00AC5AEE">
        <w:rPr>
          <w:rFonts w:ascii="Times" w:eastAsia="Times" w:hAnsi="Times" w:cs="Times New Roman"/>
          <w:sz w:val="24"/>
          <w:szCs w:val="20"/>
          <w:lang w:eastAsia="es-EC"/>
        </w:rPr>
        <w:lastRenderedPageBreak/>
        <w:t>Foucault no implican necesariamente su inserción en una estrategia global de resistencia, pero tampoco son actos meramente accidentales o simplemente aleatarios: “allí adonde hay poder, hay resistencia”</w:t>
      </w:r>
      <w:r w:rsidRPr="00AC5AEE">
        <w:rPr>
          <w:rFonts w:ascii="Times" w:eastAsia="Times" w:hAnsi="Times" w:cs="Times New Roman"/>
          <w:sz w:val="12"/>
          <w:szCs w:val="20"/>
          <w:vertAlign w:val="superscript"/>
          <w:lang w:eastAsia="es-EC"/>
        </w:rPr>
        <w:t>20</w:t>
      </w:r>
      <w:r w:rsidRPr="00AC5AEE">
        <w:rPr>
          <w:rFonts w:ascii="Times" w:eastAsia="Times" w:hAnsi="Times" w:cs="Times New Roman"/>
          <w:sz w:val="24"/>
          <w:szCs w:val="20"/>
          <w:lang w:eastAsia="es-EC"/>
        </w:rPr>
        <w:t xml:space="preserve">, concluye Foucault. </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Al abandonar la imagen del Leviatán, de la centralidad de un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al que habría que someterse o al que habría que resistir, Foucault presenta la imagen alternativa de un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reticular al que se le puede resistir en múltiples lugares y de muy variadas maneras. Walzer resume así la tesis de Foucault: “No puede haber una toma del poder si en el centro no hay nada que tomar. Si el poder se ejerce en innumerables puntos, entonces se le debe desafiar punto por punto”</w:t>
      </w:r>
      <w:r w:rsidRPr="00AC5AEE">
        <w:rPr>
          <w:rFonts w:ascii="Times" w:eastAsia="Times" w:hAnsi="Times" w:cs="Times New Roman"/>
          <w:sz w:val="12"/>
          <w:szCs w:val="20"/>
          <w:vertAlign w:val="superscript"/>
          <w:lang w:eastAsia="es-EC"/>
        </w:rPr>
        <w:t>21</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En un segundo momento de su reflexión, Foucault busca precisar aún más los rasgos definitorios de las prácticas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En ese esfuerzo, Foucault subraya que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no es en modo </w:t>
      </w:r>
      <w:proofErr w:type="gramStart"/>
      <w:r w:rsidRPr="00AC5AEE">
        <w:rPr>
          <w:rFonts w:ascii="Times" w:eastAsia="Times" w:hAnsi="Times" w:cs="Times New Roman"/>
          <w:sz w:val="24"/>
          <w:szCs w:val="20"/>
          <w:lang w:eastAsia="es-EC"/>
        </w:rPr>
        <w:t>alguno</w:t>
      </w:r>
      <w:proofErr w:type="gramEnd"/>
      <w:r w:rsidRPr="00AC5AEE">
        <w:rPr>
          <w:rFonts w:ascii="Times" w:eastAsia="Times" w:hAnsi="Times" w:cs="Times New Roman"/>
          <w:sz w:val="24"/>
          <w:szCs w:val="20"/>
          <w:lang w:eastAsia="es-EC"/>
        </w:rPr>
        <w:t xml:space="preserve"> acción directa o inmediata sobre los otros. La formulación de Foucault es más compleja: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“actúa sobre sus acciones; una acción sobre la acción, sobre las acciones eventuales o actuales, presentes o futuras”</w:t>
      </w:r>
      <w:r w:rsidRPr="00AC5AEE">
        <w:rPr>
          <w:rFonts w:ascii="Times" w:eastAsia="Times" w:hAnsi="Times" w:cs="Times New Roman"/>
          <w:sz w:val="12"/>
          <w:szCs w:val="20"/>
          <w:vertAlign w:val="superscript"/>
          <w:lang w:eastAsia="es-EC"/>
        </w:rPr>
        <w:t>22</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La distinción que Foucault hace entre violencia y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se funda precisamente en esa diferencia: mientras que la violencia se realiza sobre las cosas o sobre los cuerpos para destruir o someter,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supone el reconocimiento del otro como alguien que actúa o que es capaz de actuar. En ese sentido, gobernar es incidir sobre el campo de acción real o posible de los otros. De ahí la célebre reiteración de Foucault según la cual, al final de cuentas ejercer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no es más que “conducir conductas”</w:t>
      </w:r>
      <w:r w:rsidRPr="00AC5AEE">
        <w:rPr>
          <w:rFonts w:ascii="Times" w:eastAsia="Times" w:hAnsi="Times" w:cs="Times New Roman"/>
          <w:sz w:val="12"/>
          <w:szCs w:val="20"/>
          <w:vertAlign w:val="superscript"/>
          <w:lang w:eastAsia="es-EC"/>
        </w:rPr>
        <w:t>23</w:t>
      </w:r>
      <w:r w:rsidRPr="00AC5AEE">
        <w:rPr>
          <w:rFonts w:ascii="Times" w:eastAsia="Times" w:hAnsi="Times" w:cs="Times New Roman"/>
          <w:sz w:val="24"/>
          <w:szCs w:val="20"/>
          <w:lang w:eastAsia="es-EC"/>
        </w:rPr>
        <w:t xml:space="preserve">, valga decir: la posibilidad de ampliar o de restringir el campo de acción de los otros. De esos otros a quienes se reconoce como actuantes y responsables: como capaces de actuar y, sobre todo, de responder. </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tabs>
          <w:tab w:val="left" w:pos="360"/>
        </w:tabs>
        <w:spacing w:line="268" w:lineRule="atLeast"/>
        <w:ind w:left="360" w:hanging="360"/>
        <w:rPr>
          <w:rFonts w:ascii="Times" w:eastAsia="Times New Roman" w:hAnsi="Times" w:cs="Times New Roman"/>
          <w:b/>
          <w:spacing w:val="15"/>
          <w:szCs w:val="20"/>
        </w:rPr>
      </w:pPr>
      <w:r w:rsidRPr="00AC5AEE">
        <w:rPr>
          <w:rFonts w:ascii="Times" w:eastAsia="Times New Roman" w:hAnsi="Times" w:cs="Times New Roman"/>
          <w:b/>
          <w:spacing w:val="15"/>
          <w:szCs w:val="20"/>
        </w:rPr>
        <w:t>Vocablos de referencia:</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68" w:lineRule="atLeast"/>
        <w:ind w:firstLine="0"/>
        <w:rPr>
          <w:rFonts w:ascii="Times" w:eastAsia="Times New Roman" w:hAnsi="Times" w:cs="Times New Roman"/>
          <w:sz w:val="20"/>
          <w:szCs w:val="20"/>
        </w:rPr>
      </w:pPr>
      <w:r w:rsidRPr="00AC5AEE">
        <w:rPr>
          <w:rFonts w:ascii="Times" w:eastAsia="Times New Roman" w:hAnsi="Times" w:cs="Times New Roman"/>
          <w:sz w:val="20"/>
          <w:szCs w:val="20"/>
        </w:rPr>
        <w:t>Ciudadanía</w:t>
      </w:r>
    </w:p>
    <w:p w:rsidR="00AC5AEE" w:rsidRPr="00AC5AEE" w:rsidRDefault="00AC5AEE" w:rsidP="00AC5AEE">
      <w:pPr>
        <w:spacing w:line="268" w:lineRule="atLeast"/>
        <w:ind w:firstLine="0"/>
        <w:rPr>
          <w:rFonts w:ascii="Times" w:eastAsia="Times New Roman" w:hAnsi="Times" w:cs="Times New Roman"/>
          <w:sz w:val="20"/>
          <w:szCs w:val="20"/>
        </w:rPr>
      </w:pPr>
      <w:r w:rsidRPr="00AC5AEE">
        <w:rPr>
          <w:rFonts w:ascii="Times" w:eastAsia="Times New Roman" w:hAnsi="Times" w:cs="Times New Roman"/>
          <w:sz w:val="20"/>
          <w:szCs w:val="20"/>
        </w:rPr>
        <w:t>Cultura política</w:t>
      </w:r>
    </w:p>
    <w:p w:rsidR="00AC5AEE" w:rsidRPr="00AC5AEE" w:rsidRDefault="00AC5AEE" w:rsidP="00AC5AEE">
      <w:pPr>
        <w:spacing w:line="268" w:lineRule="atLeast"/>
        <w:ind w:firstLine="0"/>
        <w:rPr>
          <w:rFonts w:ascii="Times" w:eastAsia="Times New Roman" w:hAnsi="Times" w:cs="Times New Roman"/>
          <w:sz w:val="20"/>
          <w:szCs w:val="20"/>
        </w:rPr>
      </w:pPr>
      <w:r w:rsidRPr="00AC5AEE">
        <w:rPr>
          <w:rFonts w:ascii="Times" w:eastAsia="Times New Roman" w:hAnsi="Times" w:cs="Times New Roman"/>
          <w:sz w:val="20"/>
          <w:szCs w:val="20"/>
        </w:rPr>
        <w:t>Democracia</w:t>
      </w:r>
    </w:p>
    <w:p w:rsidR="00AC5AEE" w:rsidRPr="00AC5AEE" w:rsidRDefault="00AC5AEE" w:rsidP="00AC5AEE">
      <w:pPr>
        <w:spacing w:line="268" w:lineRule="atLeast"/>
        <w:ind w:firstLine="0"/>
        <w:rPr>
          <w:rFonts w:ascii="Times" w:eastAsia="Times New Roman" w:hAnsi="Times" w:cs="Times New Roman"/>
          <w:sz w:val="20"/>
          <w:szCs w:val="20"/>
        </w:rPr>
      </w:pPr>
      <w:r w:rsidRPr="00AC5AEE">
        <w:rPr>
          <w:rFonts w:ascii="Times" w:eastAsia="Times New Roman" w:hAnsi="Times" w:cs="Times New Roman"/>
          <w:sz w:val="20"/>
          <w:szCs w:val="20"/>
        </w:rPr>
        <w:t>Estado de Derecho</w:t>
      </w:r>
    </w:p>
    <w:p w:rsidR="00AC5AEE" w:rsidRPr="00AC5AEE" w:rsidRDefault="00AC5AEE" w:rsidP="00AC5AEE">
      <w:pPr>
        <w:spacing w:line="268" w:lineRule="atLeast"/>
        <w:ind w:firstLine="0"/>
        <w:rPr>
          <w:rFonts w:ascii="Times" w:eastAsia="Times New Roman" w:hAnsi="Times" w:cs="Times New Roman"/>
          <w:sz w:val="20"/>
          <w:szCs w:val="20"/>
        </w:rPr>
      </w:pPr>
      <w:r w:rsidRPr="00AC5AEE">
        <w:rPr>
          <w:rFonts w:ascii="Times" w:eastAsia="Times New Roman" w:hAnsi="Times" w:cs="Times New Roman"/>
          <w:sz w:val="20"/>
          <w:szCs w:val="20"/>
        </w:rPr>
        <w:t>Legitimidad</w:t>
      </w:r>
    </w:p>
    <w:p w:rsidR="00AC5AEE" w:rsidRPr="00AC5AEE" w:rsidRDefault="00AC5AEE" w:rsidP="00AC5AEE">
      <w:pPr>
        <w:spacing w:line="268" w:lineRule="atLeast"/>
        <w:ind w:firstLine="0"/>
        <w:rPr>
          <w:rFonts w:ascii="Times" w:eastAsia="Times New Roman" w:hAnsi="Times" w:cs="Times New Roman"/>
          <w:sz w:val="20"/>
          <w:szCs w:val="20"/>
        </w:rPr>
      </w:pPr>
      <w:r w:rsidRPr="00AC5AEE">
        <w:rPr>
          <w:rFonts w:ascii="Times" w:eastAsia="Times New Roman" w:hAnsi="Times" w:cs="Times New Roman"/>
          <w:sz w:val="20"/>
          <w:szCs w:val="20"/>
        </w:rPr>
        <w:t>Política</w:t>
      </w:r>
    </w:p>
    <w:p w:rsidR="00AC5AEE" w:rsidRPr="00AC5AEE" w:rsidRDefault="00AC5AEE" w:rsidP="00AC5AEE">
      <w:pPr>
        <w:spacing w:line="268" w:lineRule="atLeast"/>
        <w:ind w:firstLine="0"/>
        <w:rPr>
          <w:rFonts w:ascii="Times" w:eastAsia="Times New Roman" w:hAnsi="Times" w:cs="Times New Roman"/>
          <w:sz w:val="20"/>
          <w:szCs w:val="20"/>
          <w:lang w:val="en-US"/>
        </w:rPr>
      </w:pPr>
      <w:proofErr w:type="spellStart"/>
      <w:r w:rsidRPr="00AC5AEE">
        <w:rPr>
          <w:rFonts w:ascii="Times" w:eastAsia="Times New Roman" w:hAnsi="Times" w:cs="Times New Roman"/>
          <w:sz w:val="20"/>
          <w:szCs w:val="20"/>
          <w:lang w:val="en-US"/>
        </w:rPr>
        <w:t>Soberanía</w:t>
      </w:r>
      <w:proofErr w:type="spellEnd"/>
    </w:p>
    <w:p w:rsidR="00AC5AEE" w:rsidRPr="00AC5AEE" w:rsidRDefault="00AC5AEE" w:rsidP="00AC5AEE">
      <w:pPr>
        <w:spacing w:line="268" w:lineRule="atLeast"/>
        <w:ind w:firstLine="0"/>
        <w:rPr>
          <w:rFonts w:ascii="Times" w:eastAsia="Times New Roman" w:hAnsi="Times" w:cs="Times New Roman"/>
          <w:sz w:val="20"/>
          <w:szCs w:val="20"/>
          <w:lang w:val="en-US"/>
        </w:rPr>
      </w:pPr>
      <w:proofErr w:type="spellStart"/>
      <w:r w:rsidRPr="00AC5AEE">
        <w:rPr>
          <w:rFonts w:ascii="Times" w:eastAsia="Times New Roman" w:hAnsi="Times" w:cs="Times New Roman"/>
          <w:sz w:val="20"/>
          <w:szCs w:val="20"/>
          <w:lang w:val="en-US"/>
        </w:rPr>
        <w:t>Totalitarismo</w:t>
      </w:r>
      <w:proofErr w:type="spellEnd"/>
    </w:p>
    <w:p w:rsidR="00AC5AEE" w:rsidRPr="00AC5AEE" w:rsidRDefault="00AC5AEE" w:rsidP="00AC5AEE">
      <w:pPr>
        <w:spacing w:line="240" w:lineRule="auto"/>
        <w:ind w:firstLine="0"/>
        <w:rPr>
          <w:rFonts w:ascii="Times" w:eastAsia="Times" w:hAnsi="Times" w:cs="Times New Roman"/>
          <w:sz w:val="24"/>
          <w:szCs w:val="20"/>
          <w:lang w:val="en-US" w:eastAsia="es-EC"/>
        </w:rPr>
      </w:pPr>
    </w:p>
    <w:p w:rsidR="00AC5AEE" w:rsidRPr="00AC5AEE" w:rsidRDefault="00AC5AEE" w:rsidP="00AC5AEE">
      <w:pPr>
        <w:tabs>
          <w:tab w:val="left" w:pos="360"/>
        </w:tabs>
        <w:spacing w:line="268" w:lineRule="atLeast"/>
        <w:ind w:left="360" w:hanging="360"/>
        <w:rPr>
          <w:rFonts w:ascii="Times" w:eastAsia="Times New Roman" w:hAnsi="Times" w:cs="Times New Roman"/>
          <w:b/>
          <w:spacing w:val="15"/>
          <w:szCs w:val="20"/>
          <w:lang w:val="en-US"/>
        </w:rPr>
      </w:pPr>
      <w:proofErr w:type="spellStart"/>
      <w:r w:rsidRPr="00AC5AEE">
        <w:rPr>
          <w:rFonts w:ascii="Times" w:eastAsia="Times New Roman" w:hAnsi="Times" w:cs="Times New Roman"/>
          <w:b/>
          <w:spacing w:val="15"/>
          <w:szCs w:val="20"/>
          <w:lang w:val="en-US"/>
        </w:rPr>
        <w:t>Bibliografía</w:t>
      </w:r>
      <w:proofErr w:type="spellEnd"/>
      <w:r w:rsidRPr="00AC5AEE">
        <w:rPr>
          <w:rFonts w:ascii="Times" w:eastAsia="Times New Roman" w:hAnsi="Times" w:cs="Times New Roman"/>
          <w:b/>
          <w:spacing w:val="15"/>
          <w:szCs w:val="20"/>
          <w:lang w:val="en-US"/>
        </w:rPr>
        <w:t>:</w:t>
      </w:r>
    </w:p>
    <w:p w:rsidR="00AC5AEE" w:rsidRPr="00AC5AEE" w:rsidRDefault="00AC5AEE" w:rsidP="00AC5AEE">
      <w:pPr>
        <w:spacing w:line="240" w:lineRule="auto"/>
        <w:ind w:firstLine="0"/>
        <w:rPr>
          <w:rFonts w:ascii="Times" w:eastAsia="Times" w:hAnsi="Times" w:cs="Times New Roman"/>
          <w:sz w:val="24"/>
          <w:szCs w:val="20"/>
          <w:lang w:val="en-US" w:eastAsia="es-EC"/>
        </w:rPr>
      </w:pPr>
    </w:p>
    <w:p w:rsidR="00AC5AEE" w:rsidRPr="00AC5AEE" w:rsidRDefault="00AC5AEE" w:rsidP="00AC5AEE">
      <w:pPr>
        <w:spacing w:line="240" w:lineRule="auto"/>
        <w:ind w:firstLine="0"/>
        <w:rPr>
          <w:rFonts w:ascii="Times" w:eastAsia="Times New Roman" w:hAnsi="Times" w:cs="Times New Roman"/>
          <w:sz w:val="18"/>
          <w:szCs w:val="20"/>
          <w:lang w:val="en-US"/>
        </w:rPr>
      </w:pPr>
      <w:proofErr w:type="spellStart"/>
      <w:r w:rsidRPr="00AC5AEE">
        <w:rPr>
          <w:rFonts w:ascii="Times" w:eastAsia="Times New Roman" w:hAnsi="Times" w:cs="Times New Roman"/>
          <w:sz w:val="18"/>
          <w:szCs w:val="20"/>
          <w:lang w:val="en-US"/>
        </w:rPr>
        <w:t>Apperley</w:t>
      </w:r>
      <w:proofErr w:type="spellEnd"/>
      <w:r w:rsidRPr="00AC5AEE">
        <w:rPr>
          <w:rFonts w:ascii="Times" w:eastAsia="Times New Roman" w:hAnsi="Times" w:cs="Times New Roman"/>
          <w:sz w:val="18"/>
          <w:szCs w:val="20"/>
          <w:lang w:val="en-US"/>
        </w:rPr>
        <w:t xml:space="preserve">, Alan: “Hobbes </w:t>
      </w:r>
      <w:proofErr w:type="gramStart"/>
      <w:r w:rsidRPr="00AC5AEE">
        <w:rPr>
          <w:rFonts w:ascii="Times" w:eastAsia="Times New Roman" w:hAnsi="Times" w:cs="Times New Roman"/>
          <w:sz w:val="18"/>
          <w:szCs w:val="20"/>
          <w:lang w:val="en-US"/>
        </w:rPr>
        <w:t>On</w:t>
      </w:r>
      <w:proofErr w:type="gramEnd"/>
      <w:r w:rsidRPr="00AC5AEE">
        <w:rPr>
          <w:rFonts w:ascii="Times" w:eastAsia="Times New Roman" w:hAnsi="Times" w:cs="Times New Roman"/>
          <w:sz w:val="18"/>
          <w:szCs w:val="20"/>
          <w:lang w:val="en-US"/>
        </w:rPr>
        <w:t xml:space="preserve"> Democracy”, en: </w:t>
      </w:r>
      <w:r w:rsidRPr="00AC5AEE">
        <w:rPr>
          <w:rFonts w:ascii="Times" w:eastAsia="Times New Roman" w:hAnsi="Times" w:cs="Times New Roman"/>
          <w:i/>
          <w:sz w:val="18"/>
          <w:szCs w:val="20"/>
          <w:lang w:val="en-US"/>
        </w:rPr>
        <w:t>Politics</w:t>
      </w:r>
      <w:r w:rsidRPr="00AC5AEE">
        <w:rPr>
          <w:rFonts w:ascii="Times" w:eastAsia="Times New Roman" w:hAnsi="Times" w:cs="Times New Roman"/>
          <w:sz w:val="18"/>
          <w:szCs w:val="20"/>
          <w:lang w:val="en-US"/>
        </w:rPr>
        <w:t>, V. 19, No. 3, 1999.</w:t>
      </w:r>
    </w:p>
    <w:p w:rsidR="00AC5AEE" w:rsidRPr="00AC5AEE" w:rsidRDefault="00AC5AEE" w:rsidP="00AC5AEE">
      <w:pPr>
        <w:spacing w:line="240" w:lineRule="auto"/>
        <w:ind w:firstLine="0"/>
        <w:rPr>
          <w:rFonts w:ascii="Times" w:eastAsia="Times New Roman" w:hAnsi="Times" w:cs="Times New Roman"/>
          <w:sz w:val="18"/>
          <w:szCs w:val="20"/>
          <w:lang w:val="en-US"/>
        </w:rPr>
      </w:pPr>
      <w:r w:rsidRPr="00AC5AEE">
        <w:rPr>
          <w:rFonts w:ascii="Times" w:eastAsia="Times New Roman" w:hAnsi="Times" w:cs="Times New Roman"/>
          <w:sz w:val="18"/>
          <w:szCs w:val="20"/>
          <w:lang w:val="en-US"/>
        </w:rPr>
        <w:t xml:space="preserve">Arendt, Hannah: “Communicative Power”, </w:t>
      </w:r>
      <w:proofErr w:type="spellStart"/>
      <w:r w:rsidRPr="00AC5AEE">
        <w:rPr>
          <w:rFonts w:ascii="Times" w:eastAsia="Times New Roman" w:hAnsi="Times" w:cs="Times New Roman"/>
          <w:sz w:val="18"/>
          <w:szCs w:val="20"/>
          <w:lang w:val="en-US"/>
        </w:rPr>
        <w:t>en</w:t>
      </w:r>
      <w:proofErr w:type="spellEnd"/>
      <w:r w:rsidRPr="00AC5AEE">
        <w:rPr>
          <w:rFonts w:ascii="Times" w:eastAsia="Times New Roman" w:hAnsi="Times" w:cs="Times New Roman"/>
          <w:sz w:val="18"/>
          <w:szCs w:val="20"/>
          <w:lang w:val="en-US"/>
        </w:rPr>
        <w:t xml:space="preserve">: </w:t>
      </w:r>
      <w:proofErr w:type="spellStart"/>
      <w:r w:rsidRPr="00AC5AEE">
        <w:rPr>
          <w:rFonts w:ascii="Times" w:eastAsia="Times New Roman" w:hAnsi="Times" w:cs="Times New Roman"/>
          <w:sz w:val="18"/>
          <w:szCs w:val="20"/>
          <w:lang w:val="en-US"/>
        </w:rPr>
        <w:t>Lukes</w:t>
      </w:r>
      <w:proofErr w:type="spellEnd"/>
      <w:r w:rsidRPr="00AC5AEE">
        <w:rPr>
          <w:rFonts w:ascii="Times" w:eastAsia="Times New Roman" w:hAnsi="Times" w:cs="Times New Roman"/>
          <w:sz w:val="18"/>
          <w:szCs w:val="20"/>
          <w:lang w:val="en-US"/>
        </w:rPr>
        <w:t xml:space="preserve"> Steven (ed.): </w:t>
      </w:r>
      <w:r w:rsidRPr="00AC5AEE">
        <w:rPr>
          <w:rFonts w:ascii="Times" w:eastAsia="Times New Roman" w:hAnsi="Times" w:cs="Times New Roman"/>
          <w:i/>
          <w:sz w:val="18"/>
          <w:szCs w:val="20"/>
          <w:lang w:val="en-US"/>
        </w:rPr>
        <w:t>Power</w:t>
      </w:r>
      <w:r w:rsidRPr="00AC5AEE">
        <w:rPr>
          <w:rFonts w:ascii="Times" w:eastAsia="Times New Roman" w:hAnsi="Times" w:cs="Times New Roman"/>
          <w:sz w:val="18"/>
          <w:szCs w:val="20"/>
          <w:lang w:val="en-US"/>
        </w:rPr>
        <w:t>, Blackwell, Oxford, 1986.</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Aron, Raymond: “Macht, Power, Puissance”, en: </w:t>
      </w:r>
      <w:r w:rsidRPr="00AC5AEE">
        <w:rPr>
          <w:rFonts w:ascii="Times" w:eastAsia="Times New Roman" w:hAnsi="Times" w:cs="Times New Roman"/>
          <w:i/>
          <w:sz w:val="18"/>
          <w:szCs w:val="20"/>
        </w:rPr>
        <w:t>Etudes Sociologiques</w:t>
      </w:r>
      <w:r w:rsidRPr="00AC5AEE">
        <w:rPr>
          <w:rFonts w:ascii="Times" w:eastAsia="Times New Roman" w:hAnsi="Times" w:cs="Times New Roman"/>
          <w:sz w:val="18"/>
          <w:szCs w:val="20"/>
        </w:rPr>
        <w:t>, Presses Universitaires de France, París, 1988.</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Foucault, Michel: “El sujeto y el </w:t>
      </w:r>
      <w:r w:rsidRPr="00AC5AEE">
        <w:rPr>
          <w:rFonts w:ascii="Times" w:eastAsia="Times New Roman" w:hAnsi="Times" w:cs="Times New Roman"/>
          <w:i/>
          <w:sz w:val="18"/>
          <w:szCs w:val="20"/>
        </w:rPr>
        <w:t>poder</w:t>
      </w:r>
      <w:r w:rsidRPr="00AC5AEE">
        <w:rPr>
          <w:rFonts w:ascii="Times" w:eastAsia="Times New Roman" w:hAnsi="Times" w:cs="Times New Roman"/>
          <w:sz w:val="18"/>
          <w:szCs w:val="20"/>
        </w:rPr>
        <w:t xml:space="preserve">”, en </w:t>
      </w:r>
      <w:r w:rsidRPr="00AC5AEE">
        <w:rPr>
          <w:rFonts w:ascii="Times" w:eastAsia="Times New Roman" w:hAnsi="Times" w:cs="Times New Roman"/>
          <w:i/>
          <w:sz w:val="18"/>
          <w:szCs w:val="20"/>
        </w:rPr>
        <w:t>Revista Mexicana de Sociología</w:t>
      </w:r>
      <w:r w:rsidRPr="00AC5AEE">
        <w:rPr>
          <w:rFonts w:ascii="Times" w:eastAsia="Times New Roman" w:hAnsi="Times" w:cs="Times New Roman"/>
          <w:sz w:val="18"/>
          <w:szCs w:val="20"/>
        </w:rPr>
        <w:t>, No. 3, 1988.</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_____________: </w:t>
      </w:r>
      <w:r w:rsidRPr="00AC5AEE">
        <w:rPr>
          <w:rFonts w:ascii="Times" w:eastAsia="Times New Roman" w:hAnsi="Times" w:cs="Times New Roman"/>
          <w:i/>
          <w:sz w:val="18"/>
          <w:szCs w:val="20"/>
        </w:rPr>
        <w:t xml:space="preserve">La volonté de savoir, </w:t>
      </w:r>
      <w:r w:rsidRPr="00AC5AEE">
        <w:rPr>
          <w:rFonts w:ascii="Times" w:eastAsia="Times New Roman" w:hAnsi="Times" w:cs="Times New Roman"/>
          <w:sz w:val="18"/>
          <w:szCs w:val="20"/>
        </w:rPr>
        <w:t>Gallimard, París, 1976.</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_____________: </w:t>
      </w:r>
      <w:r w:rsidRPr="00AC5AEE">
        <w:rPr>
          <w:rFonts w:ascii="Times" w:eastAsia="Times New Roman" w:hAnsi="Times" w:cs="Times New Roman"/>
          <w:i/>
          <w:sz w:val="18"/>
          <w:szCs w:val="20"/>
        </w:rPr>
        <w:t>Un diálogo sobre el poder</w:t>
      </w:r>
      <w:r w:rsidRPr="00AC5AEE">
        <w:rPr>
          <w:rFonts w:ascii="Times" w:eastAsia="Times New Roman" w:hAnsi="Times" w:cs="Times New Roman"/>
          <w:sz w:val="18"/>
          <w:szCs w:val="20"/>
        </w:rPr>
        <w:t>, Alianza Editorial, Madrid, 1981.</w:t>
      </w:r>
    </w:p>
    <w:p w:rsidR="00AC5AEE" w:rsidRPr="00AC5AEE" w:rsidRDefault="00AC5AEE" w:rsidP="00AC5AEE">
      <w:pPr>
        <w:spacing w:line="240" w:lineRule="auto"/>
        <w:ind w:firstLine="0"/>
        <w:rPr>
          <w:rFonts w:ascii="Times" w:eastAsia="Times New Roman" w:hAnsi="Times" w:cs="Times New Roman"/>
          <w:sz w:val="18"/>
          <w:szCs w:val="20"/>
          <w:lang w:val="en-US"/>
        </w:rPr>
      </w:pPr>
      <w:r w:rsidRPr="00AC5AEE">
        <w:rPr>
          <w:rFonts w:ascii="Times" w:eastAsia="Times New Roman" w:hAnsi="Times" w:cs="Times New Roman"/>
          <w:sz w:val="18"/>
          <w:szCs w:val="20"/>
          <w:lang w:val="en-US"/>
        </w:rPr>
        <w:t xml:space="preserve">Hindess, Barry: </w:t>
      </w:r>
      <w:r w:rsidRPr="00AC5AEE">
        <w:rPr>
          <w:rFonts w:ascii="Times" w:eastAsia="Times New Roman" w:hAnsi="Times" w:cs="Times New Roman"/>
          <w:i/>
          <w:sz w:val="18"/>
          <w:szCs w:val="20"/>
          <w:lang w:val="en-US"/>
        </w:rPr>
        <w:t>Discourses of Power: from Hobbes to Foucault</w:t>
      </w:r>
      <w:r w:rsidRPr="00AC5AEE">
        <w:rPr>
          <w:rFonts w:ascii="Times" w:eastAsia="Times New Roman" w:hAnsi="Times" w:cs="Times New Roman"/>
          <w:sz w:val="18"/>
          <w:szCs w:val="20"/>
          <w:lang w:val="en-US"/>
        </w:rPr>
        <w:t>, Blackwell, Oxford, 1996.</w:t>
      </w:r>
    </w:p>
    <w:p w:rsidR="00AC5AEE" w:rsidRPr="00D97688" w:rsidRDefault="00AC5AEE" w:rsidP="00AC5AEE">
      <w:pPr>
        <w:spacing w:line="240" w:lineRule="auto"/>
        <w:ind w:firstLine="0"/>
        <w:rPr>
          <w:rFonts w:ascii="Times" w:eastAsia="Times New Roman" w:hAnsi="Times" w:cs="Times New Roman"/>
          <w:sz w:val="18"/>
          <w:szCs w:val="20"/>
        </w:rPr>
      </w:pPr>
      <w:r w:rsidRPr="00D97688">
        <w:rPr>
          <w:rFonts w:ascii="Times" w:eastAsia="Times New Roman" w:hAnsi="Times" w:cs="Times New Roman"/>
          <w:sz w:val="18"/>
          <w:szCs w:val="20"/>
        </w:rPr>
        <w:t xml:space="preserve">Hobbes, Thomas: </w:t>
      </w:r>
      <w:proofErr w:type="spellStart"/>
      <w:r w:rsidRPr="00D97688">
        <w:rPr>
          <w:rFonts w:ascii="Times" w:eastAsia="Times New Roman" w:hAnsi="Times" w:cs="Times New Roman"/>
          <w:i/>
          <w:sz w:val="18"/>
          <w:szCs w:val="20"/>
        </w:rPr>
        <w:t>Leviathan</w:t>
      </w:r>
      <w:proofErr w:type="spellEnd"/>
      <w:r w:rsidRPr="00D97688">
        <w:rPr>
          <w:rFonts w:ascii="Times" w:eastAsia="Times New Roman" w:hAnsi="Times" w:cs="Times New Roman"/>
          <w:sz w:val="18"/>
          <w:szCs w:val="20"/>
        </w:rPr>
        <w:t xml:space="preserve">, </w:t>
      </w:r>
      <w:proofErr w:type="spellStart"/>
      <w:r w:rsidRPr="00D97688">
        <w:rPr>
          <w:rFonts w:ascii="Times" w:eastAsia="Times New Roman" w:hAnsi="Times" w:cs="Times New Roman"/>
          <w:sz w:val="18"/>
          <w:szCs w:val="20"/>
        </w:rPr>
        <w:t>Penguin</w:t>
      </w:r>
      <w:proofErr w:type="spellEnd"/>
      <w:r w:rsidRPr="00D97688">
        <w:rPr>
          <w:rFonts w:ascii="Times" w:eastAsia="Times New Roman" w:hAnsi="Times" w:cs="Times New Roman"/>
          <w:sz w:val="18"/>
          <w:szCs w:val="20"/>
        </w:rPr>
        <w:t>, Londres, 1968.</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Locke, John: </w:t>
      </w:r>
      <w:r w:rsidRPr="00AC5AEE">
        <w:rPr>
          <w:rFonts w:ascii="Times" w:eastAsia="Times New Roman" w:hAnsi="Times" w:cs="Times New Roman"/>
          <w:i/>
          <w:sz w:val="18"/>
          <w:szCs w:val="20"/>
        </w:rPr>
        <w:t>Ensayo</w:t>
      </w:r>
      <w:r w:rsidRPr="00AC5AEE">
        <w:rPr>
          <w:rFonts w:ascii="Times" w:eastAsia="Times New Roman" w:hAnsi="Times" w:cs="Times New Roman"/>
          <w:sz w:val="18"/>
          <w:szCs w:val="20"/>
        </w:rPr>
        <w:t xml:space="preserve"> </w:t>
      </w:r>
      <w:r w:rsidRPr="00AC5AEE">
        <w:rPr>
          <w:rFonts w:ascii="Times" w:eastAsia="Times New Roman" w:hAnsi="Times" w:cs="Times New Roman"/>
          <w:i/>
          <w:sz w:val="18"/>
          <w:szCs w:val="20"/>
        </w:rPr>
        <w:t>Sobre el Gobierno Civil</w:t>
      </w:r>
      <w:r w:rsidRPr="00AC5AEE">
        <w:rPr>
          <w:rFonts w:ascii="Times" w:eastAsia="Times New Roman" w:hAnsi="Times" w:cs="Times New Roman"/>
          <w:sz w:val="18"/>
          <w:szCs w:val="20"/>
        </w:rPr>
        <w:t>, Aguilar, Madrid, 1979.</w:t>
      </w:r>
    </w:p>
    <w:p w:rsidR="00AC5AEE" w:rsidRPr="00AC5AEE" w:rsidRDefault="00AC5AEE" w:rsidP="00AC5AEE">
      <w:pPr>
        <w:spacing w:line="240" w:lineRule="auto"/>
        <w:ind w:firstLine="0"/>
        <w:rPr>
          <w:rFonts w:ascii="Times" w:eastAsia="Times New Roman" w:hAnsi="Times" w:cs="Times New Roman"/>
          <w:sz w:val="18"/>
          <w:szCs w:val="20"/>
          <w:lang w:val="en-US"/>
        </w:rPr>
      </w:pPr>
      <w:proofErr w:type="spellStart"/>
      <w:r w:rsidRPr="00AC5AEE">
        <w:rPr>
          <w:rFonts w:ascii="Times" w:eastAsia="Times New Roman" w:hAnsi="Times" w:cs="Times New Roman"/>
          <w:sz w:val="18"/>
          <w:szCs w:val="20"/>
          <w:lang w:val="en-US"/>
        </w:rPr>
        <w:t>Pasquino</w:t>
      </w:r>
      <w:proofErr w:type="spellEnd"/>
      <w:r w:rsidRPr="00AC5AEE">
        <w:rPr>
          <w:rFonts w:ascii="Times" w:eastAsia="Times New Roman" w:hAnsi="Times" w:cs="Times New Roman"/>
          <w:sz w:val="18"/>
          <w:szCs w:val="20"/>
          <w:lang w:val="en-US"/>
        </w:rPr>
        <w:t xml:space="preserve">, Pasquale: “Locke on King’s prerogative”, </w:t>
      </w:r>
      <w:r w:rsidRPr="00AC5AEE">
        <w:rPr>
          <w:rFonts w:ascii="Times" w:eastAsia="Times New Roman" w:hAnsi="Times" w:cs="Times New Roman"/>
          <w:i/>
          <w:sz w:val="18"/>
          <w:szCs w:val="20"/>
          <w:lang w:val="en-US"/>
        </w:rPr>
        <w:t>Political Theory</w:t>
      </w:r>
      <w:r w:rsidRPr="00AC5AEE">
        <w:rPr>
          <w:rFonts w:ascii="Times" w:eastAsia="Times New Roman" w:hAnsi="Times" w:cs="Times New Roman"/>
          <w:sz w:val="18"/>
          <w:szCs w:val="20"/>
          <w:lang w:val="en-US"/>
        </w:rPr>
        <w:t xml:space="preserve">, V. 26, No. 2, </w:t>
      </w:r>
      <w:proofErr w:type="spellStart"/>
      <w:r w:rsidRPr="00AC5AEE">
        <w:rPr>
          <w:rFonts w:ascii="Times" w:eastAsia="Times New Roman" w:hAnsi="Times" w:cs="Times New Roman"/>
          <w:sz w:val="18"/>
          <w:szCs w:val="20"/>
          <w:lang w:val="en-US"/>
        </w:rPr>
        <w:t>abril</w:t>
      </w:r>
      <w:proofErr w:type="spellEnd"/>
      <w:r w:rsidRPr="00AC5AEE">
        <w:rPr>
          <w:rFonts w:ascii="Times" w:eastAsia="Times New Roman" w:hAnsi="Times" w:cs="Times New Roman"/>
          <w:sz w:val="18"/>
          <w:szCs w:val="20"/>
          <w:lang w:val="en-US"/>
        </w:rPr>
        <w:t xml:space="preserve"> 1998.</w:t>
      </w:r>
    </w:p>
    <w:p w:rsidR="00AC5AEE" w:rsidRPr="00AC5AEE" w:rsidRDefault="00AC5AEE" w:rsidP="00AC5AEE">
      <w:pPr>
        <w:spacing w:line="240" w:lineRule="auto"/>
        <w:ind w:firstLine="0"/>
        <w:rPr>
          <w:rFonts w:ascii="Times" w:eastAsia="Times New Roman" w:hAnsi="Times" w:cs="Times New Roman"/>
          <w:sz w:val="18"/>
          <w:szCs w:val="20"/>
          <w:lang w:val="en-US"/>
        </w:rPr>
      </w:pPr>
      <w:r w:rsidRPr="00AC5AEE">
        <w:rPr>
          <w:rFonts w:ascii="Times" w:eastAsia="Times New Roman" w:hAnsi="Times" w:cs="Times New Roman"/>
          <w:sz w:val="18"/>
          <w:szCs w:val="20"/>
          <w:lang w:val="en-US"/>
        </w:rPr>
        <w:t xml:space="preserve">Russell, Bertrand: </w:t>
      </w:r>
      <w:r w:rsidRPr="00AC5AEE">
        <w:rPr>
          <w:rFonts w:ascii="Times" w:eastAsia="Times New Roman" w:hAnsi="Times" w:cs="Times New Roman"/>
          <w:i/>
          <w:sz w:val="18"/>
          <w:szCs w:val="20"/>
          <w:lang w:val="en-US"/>
        </w:rPr>
        <w:t>Power: A New Social Analysis</w:t>
      </w:r>
      <w:r w:rsidRPr="00AC5AEE">
        <w:rPr>
          <w:rFonts w:ascii="Times" w:eastAsia="Times New Roman" w:hAnsi="Times" w:cs="Times New Roman"/>
          <w:sz w:val="18"/>
          <w:szCs w:val="20"/>
          <w:lang w:val="en-US"/>
        </w:rPr>
        <w:t xml:space="preserve">, George Allen &amp; Unwin, </w:t>
      </w:r>
      <w:proofErr w:type="spellStart"/>
      <w:r w:rsidRPr="00AC5AEE">
        <w:rPr>
          <w:rFonts w:ascii="Times" w:eastAsia="Times New Roman" w:hAnsi="Times" w:cs="Times New Roman"/>
          <w:sz w:val="18"/>
          <w:szCs w:val="20"/>
          <w:lang w:val="en-US"/>
        </w:rPr>
        <w:t>Londres</w:t>
      </w:r>
      <w:proofErr w:type="spellEnd"/>
      <w:r w:rsidRPr="00AC5AEE">
        <w:rPr>
          <w:rFonts w:ascii="Times" w:eastAsia="Times New Roman" w:hAnsi="Times" w:cs="Times New Roman"/>
          <w:sz w:val="18"/>
          <w:szCs w:val="20"/>
          <w:lang w:val="en-US"/>
        </w:rPr>
        <w:t>, 1938.</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Walzer, Michael: “La política de Michel Foucault”, en: Couzens David Hoy (ed.): </w:t>
      </w:r>
      <w:r w:rsidRPr="00AC5AEE">
        <w:rPr>
          <w:rFonts w:ascii="Times" w:eastAsia="Times New Roman" w:hAnsi="Times" w:cs="Times New Roman"/>
          <w:i/>
          <w:sz w:val="18"/>
          <w:szCs w:val="20"/>
        </w:rPr>
        <w:t>Foucault</w:t>
      </w:r>
      <w:r w:rsidRPr="00AC5AEE">
        <w:rPr>
          <w:rFonts w:ascii="Times" w:eastAsia="Times New Roman" w:hAnsi="Times" w:cs="Times New Roman"/>
          <w:sz w:val="18"/>
          <w:szCs w:val="20"/>
        </w:rPr>
        <w:t>, Ediciones Nueva Visión, Buenos Aires, 1988.</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lastRenderedPageBreak/>
        <w:t xml:space="preserve">Weber, Max: </w:t>
      </w:r>
      <w:r w:rsidRPr="00AC5AEE">
        <w:rPr>
          <w:rFonts w:ascii="Times" w:eastAsia="Times New Roman" w:hAnsi="Times" w:cs="Times New Roman"/>
          <w:i/>
          <w:sz w:val="18"/>
          <w:szCs w:val="20"/>
        </w:rPr>
        <w:t>Economía y Sociedad</w:t>
      </w:r>
      <w:r w:rsidRPr="00AC5AEE">
        <w:rPr>
          <w:rFonts w:ascii="Times" w:eastAsia="Times New Roman" w:hAnsi="Times" w:cs="Times New Roman"/>
          <w:sz w:val="18"/>
          <w:szCs w:val="20"/>
        </w:rPr>
        <w:t>, V. 1, Fondo de Cultura Económica, México, 1977.</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__________: </w:t>
      </w:r>
      <w:r w:rsidRPr="00AC5AEE">
        <w:rPr>
          <w:rFonts w:ascii="Times" w:eastAsia="Times New Roman" w:hAnsi="Times" w:cs="Times New Roman"/>
          <w:i/>
          <w:sz w:val="18"/>
          <w:szCs w:val="20"/>
        </w:rPr>
        <w:t>El político y el científico</w:t>
      </w:r>
      <w:r w:rsidRPr="00AC5AEE">
        <w:rPr>
          <w:rFonts w:ascii="Times" w:eastAsia="Times New Roman" w:hAnsi="Times" w:cs="Times New Roman"/>
          <w:sz w:val="18"/>
          <w:szCs w:val="20"/>
        </w:rPr>
        <w:t>, Alianza Editorial, Madrid, 1967.</w:t>
      </w:r>
    </w:p>
    <w:p w:rsidR="00AC5AEE" w:rsidRPr="00AC5AEE" w:rsidRDefault="00AC5AEE" w:rsidP="00AC5AEE">
      <w:pPr>
        <w:spacing w:line="240" w:lineRule="auto"/>
        <w:ind w:firstLine="0"/>
        <w:rPr>
          <w:rFonts w:ascii="Times" w:eastAsia="Times New Roman" w:hAnsi="Times" w:cs="Times New Roman"/>
          <w:sz w:val="18"/>
          <w:szCs w:val="20"/>
          <w:lang w:val="en-US"/>
        </w:rPr>
      </w:pPr>
      <w:proofErr w:type="spellStart"/>
      <w:r w:rsidRPr="00AC5AEE">
        <w:rPr>
          <w:rFonts w:ascii="Times" w:eastAsia="Times New Roman" w:hAnsi="Times" w:cs="Times New Roman"/>
          <w:sz w:val="18"/>
          <w:szCs w:val="20"/>
          <w:lang w:val="en-US"/>
        </w:rPr>
        <w:t>Wolin</w:t>
      </w:r>
      <w:proofErr w:type="spellEnd"/>
      <w:r w:rsidRPr="00AC5AEE">
        <w:rPr>
          <w:rFonts w:ascii="Times" w:eastAsia="Times New Roman" w:hAnsi="Times" w:cs="Times New Roman"/>
          <w:sz w:val="18"/>
          <w:szCs w:val="20"/>
          <w:lang w:val="en-US"/>
        </w:rPr>
        <w:t xml:space="preserve">, Sheldon S.: “On the Theory and Practice of Power”, </w:t>
      </w:r>
      <w:proofErr w:type="spellStart"/>
      <w:r w:rsidRPr="00AC5AEE">
        <w:rPr>
          <w:rFonts w:ascii="Times" w:eastAsia="Times New Roman" w:hAnsi="Times" w:cs="Times New Roman"/>
          <w:sz w:val="18"/>
          <w:szCs w:val="20"/>
          <w:lang w:val="en-US"/>
        </w:rPr>
        <w:t>en</w:t>
      </w:r>
      <w:proofErr w:type="spellEnd"/>
      <w:r w:rsidRPr="00AC5AEE">
        <w:rPr>
          <w:rFonts w:ascii="Times" w:eastAsia="Times New Roman" w:hAnsi="Times" w:cs="Times New Roman"/>
          <w:sz w:val="18"/>
          <w:szCs w:val="20"/>
          <w:lang w:val="en-US"/>
        </w:rPr>
        <w:t xml:space="preserve">: </w:t>
      </w:r>
      <w:proofErr w:type="spellStart"/>
      <w:r w:rsidRPr="00AC5AEE">
        <w:rPr>
          <w:rFonts w:ascii="Times" w:eastAsia="Times New Roman" w:hAnsi="Times" w:cs="Times New Roman"/>
          <w:sz w:val="18"/>
          <w:szCs w:val="20"/>
          <w:lang w:val="en-US"/>
        </w:rPr>
        <w:t>Arac</w:t>
      </w:r>
      <w:proofErr w:type="spellEnd"/>
      <w:r w:rsidRPr="00AC5AEE">
        <w:rPr>
          <w:rFonts w:ascii="Times" w:eastAsia="Times New Roman" w:hAnsi="Times" w:cs="Times New Roman"/>
          <w:sz w:val="18"/>
          <w:szCs w:val="20"/>
          <w:lang w:val="en-US"/>
        </w:rPr>
        <w:t xml:space="preserve"> Jonathan (ed.): </w:t>
      </w:r>
      <w:r w:rsidRPr="00AC5AEE">
        <w:rPr>
          <w:rFonts w:ascii="Times" w:eastAsia="Times New Roman" w:hAnsi="Times" w:cs="Times New Roman"/>
          <w:i/>
          <w:sz w:val="18"/>
          <w:szCs w:val="20"/>
          <w:lang w:val="en-US"/>
        </w:rPr>
        <w:t>After Foucault</w:t>
      </w:r>
      <w:r w:rsidRPr="00AC5AEE">
        <w:rPr>
          <w:rFonts w:ascii="Times" w:eastAsia="Times New Roman" w:hAnsi="Times" w:cs="Times New Roman"/>
          <w:sz w:val="18"/>
          <w:szCs w:val="20"/>
          <w:lang w:val="en-US"/>
        </w:rPr>
        <w:t>, Rutgers University Press, New Brunswick, 1988.</w:t>
      </w:r>
    </w:p>
    <w:p w:rsidR="00AC5AEE" w:rsidRPr="00AC5AEE" w:rsidRDefault="00AC5AEE" w:rsidP="00AC5AEE">
      <w:pPr>
        <w:spacing w:line="240" w:lineRule="auto"/>
        <w:ind w:firstLine="0"/>
        <w:rPr>
          <w:rFonts w:ascii="Times" w:eastAsia="Times" w:hAnsi="Times" w:cs="Times New Roman"/>
          <w:sz w:val="24"/>
          <w:szCs w:val="20"/>
          <w:lang w:val="en-US" w:eastAsia="es-EC"/>
        </w:rPr>
      </w:pPr>
    </w:p>
    <w:p w:rsidR="00AC5AEE" w:rsidRPr="00AC5AEE" w:rsidRDefault="00AC5AEE" w:rsidP="00AC5AEE">
      <w:pPr>
        <w:spacing w:line="240" w:lineRule="auto"/>
        <w:ind w:firstLine="0"/>
        <w:jc w:val="right"/>
        <w:rPr>
          <w:rFonts w:ascii="Times" w:eastAsia="Times" w:hAnsi="Times" w:cs="Times New Roman"/>
          <w:sz w:val="24"/>
          <w:szCs w:val="20"/>
          <w:lang w:eastAsia="es-EC"/>
        </w:rPr>
      </w:pPr>
      <w:r w:rsidRPr="00AC5AEE">
        <w:rPr>
          <w:rFonts w:ascii="Times" w:eastAsia="Times" w:hAnsi="Times" w:cs="Times New Roman"/>
          <w:sz w:val="24"/>
          <w:szCs w:val="20"/>
          <w:lang w:eastAsia="es-EC"/>
        </w:rPr>
        <w:t>Oscar FERNÁNDEZ</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NOTAS</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1</w:t>
      </w:r>
      <w:r w:rsidRPr="00AC5AEE">
        <w:rPr>
          <w:rFonts w:ascii="Times" w:eastAsia="Times New Roman" w:hAnsi="Times" w:cs="Times New Roman"/>
          <w:sz w:val="16"/>
          <w:szCs w:val="20"/>
        </w:rPr>
        <w:tab/>
        <w:t xml:space="preserve">En buena medida, esta distinción analítica encuentra apoyo en el excelente ensayo de Barry Hindess, </w:t>
      </w:r>
      <w:r w:rsidRPr="00AC5AEE">
        <w:rPr>
          <w:rFonts w:ascii="Times" w:eastAsia="Times New Roman" w:hAnsi="Times" w:cs="Times New Roman"/>
          <w:i/>
          <w:sz w:val="16"/>
          <w:szCs w:val="20"/>
        </w:rPr>
        <w:t>Discourses of Power: from Hobbes to Foucault</w:t>
      </w:r>
      <w:r w:rsidRPr="00AC5AEE">
        <w:rPr>
          <w:rFonts w:ascii="Times" w:eastAsia="Times New Roman" w:hAnsi="Times" w:cs="Times New Roman"/>
          <w:sz w:val="16"/>
          <w:szCs w:val="20"/>
        </w:rPr>
        <w:t xml:space="preserve"> , Blackwell, Oxford, 1996.</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2</w:t>
      </w:r>
      <w:r w:rsidRPr="00AC5AEE">
        <w:rPr>
          <w:rFonts w:ascii="Times" w:eastAsia="Times New Roman" w:hAnsi="Times" w:cs="Times New Roman"/>
          <w:sz w:val="16"/>
          <w:szCs w:val="20"/>
        </w:rPr>
        <w:tab/>
        <w:t xml:space="preserve">Hobbes, Thomas: </w:t>
      </w:r>
      <w:r w:rsidRPr="00AC5AEE">
        <w:rPr>
          <w:rFonts w:ascii="Times" w:eastAsia="Times New Roman" w:hAnsi="Times" w:cs="Times New Roman"/>
          <w:i/>
          <w:sz w:val="16"/>
          <w:szCs w:val="20"/>
        </w:rPr>
        <w:t>Leviathan</w:t>
      </w:r>
      <w:r w:rsidRPr="00AC5AEE">
        <w:rPr>
          <w:rFonts w:ascii="Times" w:eastAsia="Times New Roman" w:hAnsi="Times" w:cs="Times New Roman"/>
          <w:sz w:val="16"/>
          <w:szCs w:val="20"/>
        </w:rPr>
        <w:t xml:space="preserve">, Penguin, Londres, 1968, p. 150.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3 </w:t>
      </w:r>
      <w:r w:rsidRPr="00AC5AEE">
        <w:rPr>
          <w:rFonts w:ascii="Times" w:eastAsia="Times New Roman" w:hAnsi="Times" w:cs="Times New Roman"/>
          <w:sz w:val="16"/>
          <w:szCs w:val="20"/>
        </w:rPr>
        <w:tab/>
        <w:t xml:space="preserve">Aron, Raymond: “Macht, Power, Puissance”, en: </w:t>
      </w:r>
      <w:r w:rsidRPr="00AC5AEE">
        <w:rPr>
          <w:rFonts w:ascii="Times" w:eastAsia="Times New Roman" w:hAnsi="Times" w:cs="Times New Roman"/>
          <w:i/>
          <w:sz w:val="16"/>
          <w:szCs w:val="20"/>
        </w:rPr>
        <w:t>Etudes Sociologiques</w:t>
      </w:r>
      <w:r w:rsidRPr="00AC5AEE">
        <w:rPr>
          <w:rFonts w:ascii="Times" w:eastAsia="Times New Roman" w:hAnsi="Times" w:cs="Times New Roman"/>
          <w:sz w:val="16"/>
          <w:szCs w:val="20"/>
        </w:rPr>
        <w:t xml:space="preserve">, Presses Universitaires de France, París, 1988, p. 48.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lang w:val="en-US"/>
        </w:rPr>
      </w:pPr>
      <w:r w:rsidRPr="00AC5AEE">
        <w:rPr>
          <w:rFonts w:ascii="Times" w:eastAsia="Times New Roman" w:hAnsi="Times" w:cs="Times New Roman"/>
          <w:sz w:val="16"/>
          <w:szCs w:val="20"/>
        </w:rPr>
        <w:t xml:space="preserve"> </w:t>
      </w:r>
      <w:r w:rsidRPr="00AC5AEE">
        <w:rPr>
          <w:rFonts w:ascii="Times" w:eastAsia="Times New Roman" w:hAnsi="Times" w:cs="Times New Roman"/>
          <w:sz w:val="16"/>
          <w:szCs w:val="20"/>
        </w:rPr>
        <w:tab/>
        <w:t xml:space="preserve">Para el polémico filósofo inglés Bertrand Russell el poder es la capacidad de producir los efectos buscados y esa capacidad se presenta como una especie de </w:t>
      </w:r>
      <w:r w:rsidRPr="00AC5AEE">
        <w:rPr>
          <w:rFonts w:ascii="Times" w:eastAsia="Times New Roman" w:hAnsi="Times" w:cs="Times New Roman"/>
          <w:i/>
          <w:sz w:val="16"/>
          <w:szCs w:val="20"/>
        </w:rPr>
        <w:t>quantum</w:t>
      </w:r>
      <w:r w:rsidRPr="00AC5AEE">
        <w:rPr>
          <w:rFonts w:ascii="Times" w:eastAsia="Times New Roman" w:hAnsi="Times" w:cs="Times New Roman"/>
          <w:sz w:val="16"/>
          <w:szCs w:val="20"/>
        </w:rPr>
        <w:t xml:space="preserve"> que puede ser, entre otras cosas, transferido, distribuido o eventualmente arrebatado. </w:t>
      </w:r>
      <w:r w:rsidRPr="00AC5AEE">
        <w:rPr>
          <w:rFonts w:ascii="Times" w:eastAsia="Times New Roman" w:hAnsi="Times" w:cs="Times New Roman"/>
          <w:sz w:val="16"/>
          <w:szCs w:val="20"/>
          <w:lang w:val="en-US"/>
        </w:rPr>
        <w:t xml:space="preserve">Cf. Bertrand Russell, Bertrand: </w:t>
      </w:r>
      <w:r w:rsidRPr="00AC5AEE">
        <w:rPr>
          <w:rFonts w:ascii="Times" w:eastAsia="Times New Roman" w:hAnsi="Times" w:cs="Times New Roman"/>
          <w:i/>
          <w:sz w:val="16"/>
          <w:szCs w:val="20"/>
          <w:lang w:val="en-US"/>
        </w:rPr>
        <w:t>Power: A New Social Analysis</w:t>
      </w:r>
      <w:r w:rsidRPr="00AC5AEE">
        <w:rPr>
          <w:rFonts w:ascii="Times" w:eastAsia="Times New Roman" w:hAnsi="Times" w:cs="Times New Roman"/>
          <w:sz w:val="16"/>
          <w:szCs w:val="20"/>
          <w:lang w:val="en-US"/>
        </w:rPr>
        <w:t xml:space="preserve">, George Allen &amp; Unwin, </w:t>
      </w:r>
      <w:proofErr w:type="spellStart"/>
      <w:r w:rsidRPr="00AC5AEE">
        <w:rPr>
          <w:rFonts w:ascii="Times" w:eastAsia="Times New Roman" w:hAnsi="Times" w:cs="Times New Roman"/>
          <w:sz w:val="16"/>
          <w:szCs w:val="20"/>
          <w:lang w:val="en-US"/>
        </w:rPr>
        <w:t>Londres</w:t>
      </w:r>
      <w:proofErr w:type="spellEnd"/>
      <w:r w:rsidRPr="00AC5AEE">
        <w:rPr>
          <w:rFonts w:ascii="Times" w:eastAsia="Times New Roman" w:hAnsi="Times" w:cs="Times New Roman"/>
          <w:sz w:val="16"/>
          <w:szCs w:val="20"/>
          <w:lang w:val="en-US"/>
        </w:rPr>
        <w:t>, 1938.</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4 </w:t>
      </w:r>
      <w:r w:rsidRPr="00AC5AEE">
        <w:rPr>
          <w:rFonts w:ascii="Times" w:eastAsia="Times New Roman" w:hAnsi="Times" w:cs="Times New Roman"/>
          <w:sz w:val="16"/>
          <w:szCs w:val="20"/>
        </w:rPr>
        <w:tab/>
        <w:t xml:space="preserve">Para una discusión reciente sobre las tesis de Hobbes en torno al absolutismo y la democracia, cf. Apperley, Alan: “Hobbes On Democracy”, in: </w:t>
      </w:r>
      <w:r w:rsidRPr="00AC5AEE">
        <w:rPr>
          <w:rFonts w:ascii="Times" w:eastAsia="Times New Roman" w:hAnsi="Times" w:cs="Times New Roman"/>
          <w:i/>
          <w:sz w:val="16"/>
          <w:szCs w:val="20"/>
        </w:rPr>
        <w:t>Politics</w:t>
      </w:r>
      <w:r w:rsidRPr="00AC5AEE">
        <w:rPr>
          <w:rFonts w:ascii="Times" w:eastAsia="Times New Roman" w:hAnsi="Times" w:cs="Times New Roman"/>
          <w:sz w:val="16"/>
          <w:szCs w:val="20"/>
        </w:rPr>
        <w:t xml:space="preserve">, V. 19, No. 3, 1999.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5 </w:t>
      </w:r>
      <w:r w:rsidRPr="00AC5AEE">
        <w:rPr>
          <w:rFonts w:ascii="Times" w:eastAsia="Times New Roman" w:hAnsi="Times" w:cs="Times New Roman"/>
          <w:sz w:val="16"/>
          <w:szCs w:val="20"/>
        </w:rPr>
        <w:tab/>
        <w:t xml:space="preserve">Weber, Max: </w:t>
      </w:r>
      <w:r w:rsidRPr="00AC5AEE">
        <w:rPr>
          <w:rFonts w:ascii="Times" w:eastAsia="Times New Roman" w:hAnsi="Times" w:cs="Times New Roman"/>
          <w:i/>
          <w:sz w:val="16"/>
          <w:szCs w:val="20"/>
        </w:rPr>
        <w:t>Economía y Sociedad</w:t>
      </w:r>
      <w:r w:rsidRPr="00AC5AEE">
        <w:rPr>
          <w:rFonts w:ascii="Times" w:eastAsia="Times New Roman" w:hAnsi="Times" w:cs="Times New Roman"/>
          <w:sz w:val="16"/>
          <w:szCs w:val="20"/>
        </w:rPr>
        <w:t>, V. 1, Fondo de Cultura Económica, México, 1977, p. 43.</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6 </w:t>
      </w:r>
      <w:r w:rsidRPr="00AC5AEE">
        <w:rPr>
          <w:rFonts w:ascii="Times" w:eastAsia="Times New Roman" w:hAnsi="Times" w:cs="Times New Roman"/>
          <w:i/>
          <w:sz w:val="16"/>
          <w:szCs w:val="20"/>
        </w:rPr>
        <w:tab/>
        <w:t>Ibidem.</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7 </w:t>
      </w:r>
      <w:r w:rsidRPr="00AC5AEE">
        <w:rPr>
          <w:rFonts w:ascii="Times" w:eastAsia="Times New Roman" w:hAnsi="Times" w:cs="Times New Roman"/>
          <w:sz w:val="16"/>
          <w:szCs w:val="20"/>
        </w:rPr>
        <w:tab/>
        <w:t xml:space="preserve">Aron, Raymond: </w:t>
      </w:r>
      <w:r w:rsidRPr="00AC5AEE">
        <w:rPr>
          <w:rFonts w:ascii="Times" w:eastAsia="Times New Roman" w:hAnsi="Times" w:cs="Times New Roman"/>
          <w:i/>
          <w:sz w:val="16"/>
          <w:szCs w:val="20"/>
        </w:rPr>
        <w:t>Etudes Sociologiques</w:t>
      </w:r>
      <w:r w:rsidRPr="00AC5AEE">
        <w:rPr>
          <w:rFonts w:ascii="Times" w:eastAsia="Times New Roman" w:hAnsi="Times" w:cs="Times New Roman"/>
          <w:sz w:val="16"/>
          <w:szCs w:val="20"/>
        </w:rPr>
        <w:t>, op. cit. p. 50.</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8 </w:t>
      </w:r>
      <w:r w:rsidRPr="00AC5AEE">
        <w:rPr>
          <w:rFonts w:ascii="Times" w:eastAsia="Times New Roman" w:hAnsi="Times" w:cs="Times New Roman"/>
          <w:sz w:val="16"/>
          <w:szCs w:val="20"/>
        </w:rPr>
        <w:tab/>
        <w:t xml:space="preserve">El análisis clásico de Weber sobre la aparición y el significado del Estado Moderno en Europa, ilustra claramente su tesis sobre la progresiva legitimación del poder: “El Estado, como todas las asociaciones políticas que históricamente lo han precedido es una relación de dominación de hombre sobre hombres, que se sostiene por medio de la violencia legítima (es decir, de la que es vista como tal)” Weber, Max: </w:t>
      </w:r>
      <w:r w:rsidRPr="00AC5AEE">
        <w:rPr>
          <w:rFonts w:ascii="Times" w:eastAsia="Times New Roman" w:hAnsi="Times" w:cs="Times New Roman"/>
          <w:i/>
          <w:sz w:val="16"/>
          <w:szCs w:val="20"/>
        </w:rPr>
        <w:t>El político y el científico</w:t>
      </w:r>
      <w:r w:rsidRPr="00AC5AEE">
        <w:rPr>
          <w:rFonts w:ascii="Times" w:eastAsia="Times New Roman" w:hAnsi="Times" w:cs="Times New Roman"/>
          <w:sz w:val="16"/>
          <w:szCs w:val="20"/>
        </w:rPr>
        <w:t>, Alianza Editorial, Madrid, 1967, p. 84.</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 </w:t>
      </w:r>
      <w:r w:rsidRPr="00AC5AEE">
        <w:rPr>
          <w:rFonts w:ascii="Times" w:eastAsia="Times New Roman" w:hAnsi="Times" w:cs="Times New Roman"/>
          <w:sz w:val="16"/>
          <w:szCs w:val="20"/>
        </w:rPr>
        <w:tab/>
        <w:t xml:space="preserve">El reclamo, por parte del Estado, de ese monopolio a la violencia legítima, remite al proceso histórico mediante el cual algunas ciudades-estado italianas, durante el Renacimiento, fueron instituyendo un ordenamiento legal obligatorio para los ciudadanos en el marco de sus fronteras territoriales, un sólo ejército capaz de garantizar la seguridad de la ciudadanía mediante el uso o la amenaza de la fuerza física y un cuerpo burocrático estable para asegurar la prestación de los servicios propios de ese naciente estado nacional.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9 </w:t>
      </w:r>
      <w:r w:rsidRPr="00AC5AEE">
        <w:rPr>
          <w:rFonts w:ascii="Times" w:eastAsia="Times New Roman" w:hAnsi="Times" w:cs="Times New Roman"/>
          <w:sz w:val="16"/>
          <w:szCs w:val="20"/>
        </w:rPr>
        <w:tab/>
        <w:t>Weber, Max: Economía y Sociedad, op. cit. p. 171.</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lang w:val="en-US"/>
        </w:rPr>
      </w:pPr>
      <w:r w:rsidRPr="00AC5AEE">
        <w:rPr>
          <w:rFonts w:ascii="Times" w:eastAsia="Times New Roman" w:hAnsi="Times" w:cs="Times New Roman"/>
          <w:sz w:val="16"/>
          <w:szCs w:val="20"/>
        </w:rPr>
        <w:t xml:space="preserve"> </w:t>
      </w:r>
      <w:r w:rsidRPr="00AC5AEE">
        <w:rPr>
          <w:rFonts w:ascii="Times" w:eastAsia="Times New Roman" w:hAnsi="Times" w:cs="Times New Roman"/>
          <w:sz w:val="16"/>
          <w:szCs w:val="20"/>
        </w:rPr>
        <w:tab/>
        <w:t xml:space="preserve">Como lo destaca el mismo Weber: “La adhesión puede fingirse por individuos y grupos enteros por razones de oportunidad, practicarse efectivamente por causa de intereses materiales propios, o aceptarse como algo irremediable en virtud de debilidades individuales y de desvalimiento”. </w:t>
      </w:r>
      <w:proofErr w:type="spellStart"/>
      <w:proofErr w:type="gramStart"/>
      <w:r w:rsidRPr="00AC5AEE">
        <w:rPr>
          <w:rFonts w:ascii="Times" w:eastAsia="Times New Roman" w:hAnsi="Times" w:cs="Times New Roman"/>
          <w:i/>
          <w:sz w:val="16"/>
          <w:szCs w:val="20"/>
          <w:lang w:val="en-US"/>
        </w:rPr>
        <w:t>Ibidem</w:t>
      </w:r>
      <w:proofErr w:type="spellEnd"/>
      <w:r w:rsidRPr="00AC5AEE">
        <w:rPr>
          <w:rFonts w:ascii="Times" w:eastAsia="Times New Roman" w:hAnsi="Times" w:cs="Times New Roman"/>
          <w:i/>
          <w:sz w:val="16"/>
          <w:szCs w:val="20"/>
          <w:lang w:val="en-US"/>
        </w:rPr>
        <w:t>.</w:t>
      </w:r>
      <w:proofErr w:type="gramEnd"/>
    </w:p>
    <w:p w:rsidR="00AC5AEE" w:rsidRPr="00AC5AEE" w:rsidRDefault="00AC5AEE" w:rsidP="00AC5AEE">
      <w:pPr>
        <w:tabs>
          <w:tab w:val="left" w:pos="480"/>
        </w:tabs>
        <w:spacing w:line="240" w:lineRule="auto"/>
        <w:ind w:left="480" w:hanging="480"/>
        <w:rPr>
          <w:rFonts w:ascii="Times" w:eastAsia="Times New Roman" w:hAnsi="Times" w:cs="Times New Roman"/>
          <w:sz w:val="16"/>
          <w:szCs w:val="20"/>
          <w:lang w:val="en-US"/>
        </w:rPr>
      </w:pPr>
      <w:r w:rsidRPr="00AC5AEE">
        <w:rPr>
          <w:rFonts w:ascii="Times" w:eastAsia="Times New Roman" w:hAnsi="Times" w:cs="Times New Roman"/>
          <w:sz w:val="16"/>
          <w:szCs w:val="20"/>
          <w:lang w:val="en-US"/>
        </w:rPr>
        <w:t xml:space="preserve">10 </w:t>
      </w:r>
      <w:r w:rsidRPr="00AC5AEE">
        <w:rPr>
          <w:rFonts w:ascii="Times" w:eastAsia="Times New Roman" w:hAnsi="Times" w:cs="Times New Roman"/>
          <w:sz w:val="16"/>
          <w:szCs w:val="20"/>
          <w:lang w:val="en-US"/>
        </w:rPr>
        <w:tab/>
        <w:t xml:space="preserve">Arendt, Hannah: “Communicative Power”, </w:t>
      </w:r>
      <w:proofErr w:type="spellStart"/>
      <w:r w:rsidRPr="00AC5AEE">
        <w:rPr>
          <w:rFonts w:ascii="Times" w:eastAsia="Times New Roman" w:hAnsi="Times" w:cs="Times New Roman"/>
          <w:sz w:val="16"/>
          <w:szCs w:val="20"/>
          <w:lang w:val="en-US"/>
        </w:rPr>
        <w:t>en</w:t>
      </w:r>
      <w:proofErr w:type="spellEnd"/>
      <w:r w:rsidRPr="00AC5AEE">
        <w:rPr>
          <w:rFonts w:ascii="Times" w:eastAsia="Times New Roman" w:hAnsi="Times" w:cs="Times New Roman"/>
          <w:sz w:val="16"/>
          <w:szCs w:val="20"/>
          <w:lang w:val="en-US"/>
        </w:rPr>
        <w:t xml:space="preserve">: Steven </w:t>
      </w:r>
      <w:proofErr w:type="spellStart"/>
      <w:r w:rsidRPr="00AC5AEE">
        <w:rPr>
          <w:rFonts w:ascii="Times" w:eastAsia="Times New Roman" w:hAnsi="Times" w:cs="Times New Roman"/>
          <w:sz w:val="16"/>
          <w:szCs w:val="20"/>
          <w:lang w:val="en-US"/>
        </w:rPr>
        <w:t>Lukes</w:t>
      </w:r>
      <w:proofErr w:type="spellEnd"/>
      <w:r w:rsidRPr="00AC5AEE">
        <w:rPr>
          <w:rFonts w:ascii="Times" w:eastAsia="Times New Roman" w:hAnsi="Times" w:cs="Times New Roman"/>
          <w:sz w:val="16"/>
          <w:szCs w:val="20"/>
          <w:lang w:val="en-US"/>
        </w:rPr>
        <w:t xml:space="preserve"> (ed.):</w:t>
      </w:r>
      <w:r w:rsidRPr="00AC5AEE">
        <w:rPr>
          <w:rFonts w:ascii="Times" w:eastAsia="Times New Roman" w:hAnsi="Times" w:cs="Times New Roman"/>
          <w:i/>
          <w:sz w:val="16"/>
          <w:szCs w:val="20"/>
          <w:lang w:val="en-US"/>
        </w:rPr>
        <w:t xml:space="preserve"> Power</w:t>
      </w:r>
      <w:r w:rsidRPr="00AC5AEE">
        <w:rPr>
          <w:rFonts w:ascii="Times" w:eastAsia="Times New Roman" w:hAnsi="Times" w:cs="Times New Roman"/>
          <w:sz w:val="16"/>
          <w:szCs w:val="20"/>
          <w:lang w:val="en-US"/>
        </w:rPr>
        <w:t xml:space="preserve">, Blackwell, Oxford, 1986, p. 64.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11 </w:t>
      </w:r>
      <w:r w:rsidRPr="00AC5AEE">
        <w:rPr>
          <w:rFonts w:ascii="Times" w:eastAsia="Times New Roman" w:hAnsi="Times" w:cs="Times New Roman"/>
          <w:i/>
          <w:sz w:val="16"/>
          <w:szCs w:val="20"/>
        </w:rPr>
        <w:tab/>
        <w:t>Ibid.</w:t>
      </w:r>
      <w:r w:rsidRPr="00AC5AEE">
        <w:rPr>
          <w:rFonts w:ascii="Times" w:eastAsia="Times New Roman" w:hAnsi="Times" w:cs="Times New Roman"/>
          <w:sz w:val="16"/>
          <w:szCs w:val="20"/>
        </w:rPr>
        <w:t xml:space="preserve">, p. 63.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12 </w:t>
      </w:r>
      <w:r w:rsidRPr="00AC5AEE">
        <w:rPr>
          <w:rFonts w:ascii="Times" w:eastAsia="Times New Roman" w:hAnsi="Times" w:cs="Times New Roman"/>
          <w:sz w:val="16"/>
          <w:szCs w:val="20"/>
        </w:rPr>
        <w:tab/>
        <w:t xml:space="preserve">Locke, John: Ensayo </w:t>
      </w:r>
      <w:r w:rsidRPr="00AC5AEE">
        <w:rPr>
          <w:rFonts w:ascii="Times" w:eastAsia="Times New Roman" w:hAnsi="Times" w:cs="Times New Roman"/>
          <w:i/>
          <w:sz w:val="16"/>
          <w:szCs w:val="20"/>
        </w:rPr>
        <w:t>Sobre el Gobierno Civil</w:t>
      </w:r>
      <w:r w:rsidRPr="00AC5AEE">
        <w:rPr>
          <w:rFonts w:ascii="Times" w:eastAsia="Times New Roman" w:hAnsi="Times" w:cs="Times New Roman"/>
          <w:sz w:val="16"/>
          <w:szCs w:val="20"/>
        </w:rPr>
        <w:t>, Aguilar, Madrid, 1979, p. 152.</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 </w:t>
      </w:r>
      <w:r w:rsidRPr="00AC5AEE">
        <w:rPr>
          <w:rFonts w:ascii="Times" w:eastAsia="Times New Roman" w:hAnsi="Times" w:cs="Times New Roman"/>
          <w:sz w:val="16"/>
          <w:szCs w:val="20"/>
        </w:rPr>
        <w:tab/>
        <w:t>El buen soberano “considera las leyes como límites de su poder, y el bien del pueblo como finalidad de su gobierno, mientras que el tirano lo doblega todo a su voluntad y a sus apetencias</w:t>
      </w:r>
      <w:r w:rsidRPr="00AC5AEE">
        <w:rPr>
          <w:rFonts w:ascii="Times" w:eastAsia="Times New Roman" w:hAnsi="Times" w:cs="Times New Roman"/>
          <w:i/>
          <w:sz w:val="16"/>
          <w:szCs w:val="20"/>
        </w:rPr>
        <w:t>” Ibid.</w:t>
      </w:r>
      <w:r w:rsidRPr="00AC5AEE">
        <w:rPr>
          <w:rFonts w:ascii="Times" w:eastAsia="Times New Roman" w:hAnsi="Times" w:cs="Times New Roman"/>
          <w:sz w:val="16"/>
          <w:szCs w:val="20"/>
        </w:rPr>
        <w:t xml:space="preserve"> p 153.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13 </w:t>
      </w:r>
      <w:r w:rsidRPr="00AC5AEE">
        <w:rPr>
          <w:rFonts w:ascii="Times" w:eastAsia="Times New Roman" w:hAnsi="Times" w:cs="Times New Roman"/>
          <w:i/>
          <w:sz w:val="16"/>
          <w:szCs w:val="20"/>
        </w:rPr>
        <w:tab/>
        <w:t xml:space="preserve">Ibid. </w:t>
      </w:r>
      <w:r w:rsidRPr="00AC5AEE">
        <w:rPr>
          <w:rFonts w:ascii="Times" w:eastAsia="Times New Roman" w:hAnsi="Times" w:cs="Times New Roman"/>
          <w:sz w:val="16"/>
          <w:szCs w:val="20"/>
        </w:rPr>
        <w:t>p</w:t>
      </w:r>
      <w:r w:rsidRPr="00AC5AEE">
        <w:rPr>
          <w:rFonts w:ascii="Times" w:eastAsia="Times New Roman" w:hAnsi="Times" w:cs="Times New Roman"/>
          <w:i/>
          <w:sz w:val="16"/>
          <w:szCs w:val="20"/>
        </w:rPr>
        <w:t xml:space="preserve">. </w:t>
      </w:r>
      <w:r w:rsidRPr="00AC5AEE">
        <w:rPr>
          <w:rFonts w:ascii="Times" w:eastAsia="Times New Roman" w:hAnsi="Times" w:cs="Times New Roman"/>
          <w:sz w:val="16"/>
          <w:szCs w:val="20"/>
        </w:rPr>
        <w:t>155.</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 </w:t>
      </w:r>
      <w:r w:rsidRPr="00AC5AEE">
        <w:rPr>
          <w:rFonts w:ascii="Times" w:eastAsia="Times New Roman" w:hAnsi="Times" w:cs="Times New Roman"/>
          <w:sz w:val="16"/>
          <w:szCs w:val="20"/>
        </w:rPr>
        <w:tab/>
        <w:t xml:space="preserve">Sobre el tema clásico de las prerrogativas del soberano, puede consultarse el artículo reciente de Pasquino, Pasquale: “Locke on King’s prerogative”, </w:t>
      </w:r>
      <w:r w:rsidRPr="00AC5AEE">
        <w:rPr>
          <w:rFonts w:ascii="Times" w:eastAsia="Times New Roman" w:hAnsi="Times" w:cs="Times New Roman"/>
          <w:i/>
          <w:sz w:val="16"/>
          <w:szCs w:val="20"/>
        </w:rPr>
        <w:t>Political Theory</w:t>
      </w:r>
      <w:r w:rsidRPr="00AC5AEE">
        <w:rPr>
          <w:rFonts w:ascii="Times" w:eastAsia="Times New Roman" w:hAnsi="Times" w:cs="Times New Roman"/>
          <w:sz w:val="16"/>
          <w:szCs w:val="20"/>
        </w:rPr>
        <w:t>, V. 26, No. 2, abril 1998.</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lang w:val="en-US"/>
        </w:rPr>
      </w:pPr>
      <w:r w:rsidRPr="00AC5AEE">
        <w:rPr>
          <w:rFonts w:ascii="Times" w:eastAsia="Times New Roman" w:hAnsi="Times" w:cs="Times New Roman"/>
          <w:sz w:val="16"/>
          <w:szCs w:val="20"/>
        </w:rPr>
        <w:t xml:space="preserve">14 </w:t>
      </w:r>
      <w:r w:rsidRPr="00AC5AEE">
        <w:rPr>
          <w:rFonts w:ascii="Times" w:eastAsia="Times New Roman" w:hAnsi="Times" w:cs="Times New Roman"/>
          <w:sz w:val="16"/>
          <w:szCs w:val="20"/>
        </w:rPr>
        <w:tab/>
        <w:t xml:space="preserve">En un análisis crítico severo, un distinguido profesor emérito de Princeton así lo reconoce: “Quizás ningún escritor de la segunda mitad del siglo XX ha contribuido tanto a iluminar la naturaleza del poder como Michel Foucault”. </w:t>
      </w:r>
      <w:proofErr w:type="spellStart"/>
      <w:r w:rsidRPr="00AC5AEE">
        <w:rPr>
          <w:rFonts w:ascii="Times" w:eastAsia="Times New Roman" w:hAnsi="Times" w:cs="Times New Roman"/>
          <w:sz w:val="16"/>
          <w:szCs w:val="20"/>
          <w:lang w:val="en-US"/>
        </w:rPr>
        <w:t>Wolin</w:t>
      </w:r>
      <w:proofErr w:type="spellEnd"/>
      <w:r w:rsidRPr="00AC5AEE">
        <w:rPr>
          <w:rFonts w:ascii="Times" w:eastAsia="Times New Roman" w:hAnsi="Times" w:cs="Times New Roman"/>
          <w:sz w:val="16"/>
          <w:szCs w:val="20"/>
          <w:lang w:val="en-US"/>
        </w:rPr>
        <w:t xml:space="preserve">, Sheldon S.: “On the Theory and Practice of Power”, </w:t>
      </w:r>
      <w:proofErr w:type="spellStart"/>
      <w:r w:rsidRPr="00AC5AEE">
        <w:rPr>
          <w:rFonts w:ascii="Times" w:eastAsia="Times New Roman" w:hAnsi="Times" w:cs="Times New Roman"/>
          <w:sz w:val="16"/>
          <w:szCs w:val="20"/>
          <w:lang w:val="en-US"/>
        </w:rPr>
        <w:t>en</w:t>
      </w:r>
      <w:proofErr w:type="spellEnd"/>
      <w:r w:rsidRPr="00AC5AEE">
        <w:rPr>
          <w:rFonts w:ascii="Times" w:eastAsia="Times New Roman" w:hAnsi="Times" w:cs="Times New Roman"/>
          <w:sz w:val="16"/>
          <w:szCs w:val="20"/>
          <w:lang w:val="en-US"/>
        </w:rPr>
        <w:t xml:space="preserve">: Jonathan </w:t>
      </w:r>
      <w:proofErr w:type="spellStart"/>
      <w:r w:rsidRPr="00AC5AEE">
        <w:rPr>
          <w:rFonts w:ascii="Times" w:eastAsia="Times New Roman" w:hAnsi="Times" w:cs="Times New Roman"/>
          <w:sz w:val="16"/>
          <w:szCs w:val="20"/>
          <w:lang w:val="en-US"/>
        </w:rPr>
        <w:t>Arac</w:t>
      </w:r>
      <w:proofErr w:type="spellEnd"/>
      <w:r w:rsidRPr="00AC5AEE">
        <w:rPr>
          <w:rFonts w:ascii="Times" w:eastAsia="Times New Roman" w:hAnsi="Times" w:cs="Times New Roman"/>
          <w:sz w:val="16"/>
          <w:szCs w:val="20"/>
          <w:lang w:val="en-US"/>
        </w:rPr>
        <w:t xml:space="preserve"> (ed.): </w:t>
      </w:r>
      <w:r w:rsidRPr="00AC5AEE">
        <w:rPr>
          <w:rFonts w:ascii="Times" w:eastAsia="Times New Roman" w:hAnsi="Times" w:cs="Times New Roman"/>
          <w:i/>
          <w:sz w:val="16"/>
          <w:szCs w:val="20"/>
          <w:lang w:val="en-US"/>
        </w:rPr>
        <w:t>After Foucault</w:t>
      </w:r>
      <w:r w:rsidRPr="00AC5AEE">
        <w:rPr>
          <w:rFonts w:ascii="Times" w:eastAsia="Times New Roman" w:hAnsi="Times" w:cs="Times New Roman"/>
          <w:sz w:val="16"/>
          <w:szCs w:val="20"/>
          <w:lang w:val="en-US"/>
        </w:rPr>
        <w:t xml:space="preserve">, Rutgers University Press, New Brunswick, 1988, p. 179.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lang w:val="en-US"/>
        </w:rPr>
      </w:pPr>
      <w:r w:rsidRPr="00AC5AEE">
        <w:rPr>
          <w:rFonts w:ascii="Times" w:eastAsia="Times New Roman" w:hAnsi="Times" w:cs="Times New Roman"/>
          <w:sz w:val="16"/>
          <w:szCs w:val="20"/>
          <w:lang w:val="en-US"/>
        </w:rPr>
        <w:t xml:space="preserve">15 </w:t>
      </w:r>
      <w:r w:rsidRPr="00AC5AEE">
        <w:rPr>
          <w:rFonts w:ascii="Times" w:eastAsia="Times New Roman" w:hAnsi="Times" w:cs="Times New Roman"/>
          <w:sz w:val="16"/>
          <w:szCs w:val="20"/>
          <w:lang w:val="en-US"/>
        </w:rPr>
        <w:tab/>
        <w:t xml:space="preserve">Hindess, Barry: </w:t>
      </w:r>
      <w:r w:rsidRPr="00AC5AEE">
        <w:rPr>
          <w:rFonts w:ascii="Times" w:eastAsia="Times New Roman" w:hAnsi="Times" w:cs="Times New Roman"/>
          <w:i/>
          <w:sz w:val="16"/>
          <w:szCs w:val="20"/>
          <w:lang w:val="en-US"/>
        </w:rPr>
        <w:t xml:space="preserve">Discourses of Power: from Hobbes to Foucault, </w:t>
      </w:r>
      <w:r w:rsidRPr="00AC5AEE">
        <w:rPr>
          <w:rFonts w:ascii="Times" w:eastAsia="Times New Roman" w:hAnsi="Times" w:cs="Times New Roman"/>
          <w:sz w:val="16"/>
          <w:szCs w:val="20"/>
          <w:lang w:val="en-US"/>
        </w:rPr>
        <w:t xml:space="preserve">Blackwell, Oxford, 1996, p. 142.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16 </w:t>
      </w:r>
      <w:r w:rsidRPr="00AC5AEE">
        <w:rPr>
          <w:rFonts w:ascii="Times" w:eastAsia="Times New Roman" w:hAnsi="Times" w:cs="Times New Roman"/>
          <w:sz w:val="16"/>
          <w:szCs w:val="20"/>
        </w:rPr>
        <w:tab/>
        <w:t xml:space="preserve">En un análisis histórico que sin duda lo hizo célebre, Foucault mostró cómo la tecnología del poder se modificó en Europa desde finales del Siglo XVIII: mientras que, hasta ese momento el poder expresaba y exhibía su fuerza mediante el castigo que incluía abiertamente la tortura, que dejaba sus huellas imborrables en los cuerpos de quienes la habían padecido, posteriormente, y gracias a la tecnología arquitectónica del Panóptico, elaborado y promovido por Bentham, la vigilancia comienza a adquirir una importancia mayor frente al suplicio: la figura espacial de un vigilante, ubicado en el centro de un gran círculo, quien podía ver y observar a cada uno de los que se ubicaban en los segmentos aislados del anillo que formaba ese gran círculo, quienes a su vez, no podían verse entre sí, sirvió de modelo para la construcción no sólo de prisiones sino también de escuelas, fábricas y hospitales.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17 </w:t>
      </w:r>
      <w:r w:rsidRPr="00AC5AEE">
        <w:rPr>
          <w:rFonts w:ascii="Times" w:eastAsia="Times New Roman" w:hAnsi="Times" w:cs="Times New Roman"/>
          <w:sz w:val="16"/>
          <w:szCs w:val="20"/>
        </w:rPr>
        <w:tab/>
        <w:t xml:space="preserve">Foucault, Michel: </w:t>
      </w:r>
      <w:r w:rsidRPr="00AC5AEE">
        <w:rPr>
          <w:rFonts w:ascii="Times" w:eastAsia="Times New Roman" w:hAnsi="Times" w:cs="Times New Roman"/>
          <w:i/>
          <w:sz w:val="16"/>
          <w:szCs w:val="20"/>
        </w:rPr>
        <w:t xml:space="preserve">La volonté de savoir, </w:t>
      </w:r>
      <w:r w:rsidRPr="00AC5AEE">
        <w:rPr>
          <w:rFonts w:ascii="Times" w:eastAsia="Times New Roman" w:hAnsi="Times" w:cs="Times New Roman"/>
          <w:sz w:val="16"/>
          <w:szCs w:val="20"/>
        </w:rPr>
        <w:t>Gallimard, París, 1976, p. 123.</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18 </w:t>
      </w:r>
      <w:r w:rsidRPr="00AC5AEE">
        <w:rPr>
          <w:rFonts w:ascii="Times" w:eastAsia="Times New Roman" w:hAnsi="Times" w:cs="Times New Roman"/>
          <w:sz w:val="16"/>
          <w:szCs w:val="20"/>
        </w:rPr>
        <w:tab/>
        <w:t xml:space="preserve">Foucault, Michel: </w:t>
      </w:r>
      <w:r w:rsidRPr="00AC5AEE">
        <w:rPr>
          <w:rFonts w:ascii="Times" w:eastAsia="Times New Roman" w:hAnsi="Times" w:cs="Times New Roman"/>
          <w:i/>
          <w:sz w:val="16"/>
          <w:szCs w:val="20"/>
        </w:rPr>
        <w:t>Un diálogo sobre el poder</w:t>
      </w:r>
      <w:r w:rsidRPr="00AC5AEE">
        <w:rPr>
          <w:rFonts w:ascii="Times" w:eastAsia="Times New Roman" w:hAnsi="Times" w:cs="Times New Roman"/>
          <w:sz w:val="16"/>
          <w:szCs w:val="20"/>
        </w:rPr>
        <w:t>, Alianza Editorial, Madrid, 1981, p. 82.</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19 </w:t>
      </w:r>
      <w:r w:rsidRPr="00AC5AEE">
        <w:rPr>
          <w:rFonts w:ascii="Times" w:eastAsia="Times New Roman" w:hAnsi="Times" w:cs="Times New Roman"/>
          <w:i/>
          <w:sz w:val="16"/>
          <w:szCs w:val="20"/>
        </w:rPr>
        <w:tab/>
        <w:t>Ibidem.</w:t>
      </w:r>
      <w:r w:rsidRPr="00AC5AEE">
        <w:rPr>
          <w:rFonts w:ascii="Times" w:eastAsia="Times New Roman" w:hAnsi="Times" w:cs="Times New Roman"/>
          <w:sz w:val="16"/>
          <w:szCs w:val="20"/>
        </w:rPr>
        <w:t xml:space="preserve">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20 </w:t>
      </w:r>
      <w:r w:rsidRPr="00AC5AEE">
        <w:rPr>
          <w:rFonts w:ascii="Times" w:eastAsia="Times New Roman" w:hAnsi="Times" w:cs="Times New Roman"/>
          <w:sz w:val="16"/>
          <w:szCs w:val="20"/>
        </w:rPr>
        <w:tab/>
        <w:t xml:space="preserve">Foucault, Michel: </w:t>
      </w:r>
      <w:r w:rsidRPr="00AC5AEE">
        <w:rPr>
          <w:rFonts w:ascii="Times" w:eastAsia="Times New Roman" w:hAnsi="Times" w:cs="Times New Roman"/>
          <w:i/>
          <w:sz w:val="16"/>
          <w:szCs w:val="20"/>
        </w:rPr>
        <w:t>La volonté de savoir</w:t>
      </w:r>
      <w:r w:rsidRPr="00AC5AEE">
        <w:rPr>
          <w:rFonts w:ascii="Times" w:eastAsia="Times New Roman" w:hAnsi="Times" w:cs="Times New Roman"/>
          <w:sz w:val="16"/>
          <w:szCs w:val="20"/>
        </w:rPr>
        <w:t xml:space="preserve"> , op. cit. p. 125.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21 </w:t>
      </w:r>
      <w:r w:rsidRPr="00AC5AEE">
        <w:rPr>
          <w:rFonts w:ascii="Times" w:eastAsia="Times New Roman" w:hAnsi="Times" w:cs="Times New Roman"/>
          <w:sz w:val="16"/>
          <w:szCs w:val="20"/>
        </w:rPr>
        <w:tab/>
        <w:t xml:space="preserve">Walzer, Michael: “La política de Michel Foucault”, en: David Couzens Hoy (ed.): </w:t>
      </w:r>
      <w:r w:rsidRPr="00AC5AEE">
        <w:rPr>
          <w:rFonts w:ascii="Times" w:eastAsia="Times New Roman" w:hAnsi="Times" w:cs="Times New Roman"/>
          <w:i/>
          <w:sz w:val="16"/>
          <w:szCs w:val="20"/>
        </w:rPr>
        <w:t>Foucault</w:t>
      </w:r>
      <w:r w:rsidRPr="00AC5AEE">
        <w:rPr>
          <w:rFonts w:ascii="Times" w:eastAsia="Times New Roman" w:hAnsi="Times" w:cs="Times New Roman"/>
          <w:sz w:val="16"/>
          <w:szCs w:val="20"/>
        </w:rPr>
        <w:t>, Ediciones Nueva Visión, Buenos Aires, 1988, p. 65.</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22</w:t>
      </w:r>
      <w:r w:rsidRPr="00AC5AEE">
        <w:rPr>
          <w:rFonts w:ascii="Times" w:eastAsia="Times New Roman" w:hAnsi="Times" w:cs="Times New Roman"/>
          <w:sz w:val="16"/>
          <w:szCs w:val="20"/>
        </w:rPr>
        <w:tab/>
        <w:t xml:space="preserve"> Foucault, Michel: “El sujeto y el poder”, en </w:t>
      </w:r>
      <w:r w:rsidRPr="00AC5AEE">
        <w:rPr>
          <w:rFonts w:ascii="Times" w:eastAsia="Times New Roman" w:hAnsi="Times" w:cs="Times New Roman"/>
          <w:i/>
          <w:sz w:val="16"/>
          <w:szCs w:val="20"/>
        </w:rPr>
        <w:t>Revista Mexicana de Sociología</w:t>
      </w:r>
      <w:r w:rsidRPr="00AC5AEE">
        <w:rPr>
          <w:rFonts w:ascii="Times" w:eastAsia="Times New Roman" w:hAnsi="Times" w:cs="Times New Roman"/>
          <w:sz w:val="16"/>
          <w:szCs w:val="20"/>
        </w:rPr>
        <w:t xml:space="preserve">, No. 3, 1988, p. 14. </w:t>
      </w:r>
    </w:p>
    <w:p w:rsidR="00AC5AEE" w:rsidRPr="00AC5AEE" w:rsidRDefault="00AC5AEE" w:rsidP="00AC5AEE">
      <w:pPr>
        <w:tabs>
          <w:tab w:val="left" w:pos="540"/>
        </w:tabs>
        <w:spacing w:line="240" w:lineRule="auto"/>
        <w:ind w:firstLine="0"/>
        <w:rPr>
          <w:rFonts w:ascii="Times" w:eastAsia="Times" w:hAnsi="Times" w:cs="Times New Roman"/>
          <w:sz w:val="16"/>
          <w:szCs w:val="20"/>
          <w:lang w:val="en-US" w:eastAsia="es-EC"/>
        </w:rPr>
      </w:pPr>
      <w:r w:rsidRPr="00AC5AEE">
        <w:rPr>
          <w:rFonts w:ascii="Times" w:eastAsia="Times" w:hAnsi="Times" w:cs="Times New Roman"/>
          <w:sz w:val="16"/>
          <w:szCs w:val="20"/>
          <w:lang w:val="en-US" w:eastAsia="es-EC"/>
        </w:rPr>
        <w:t xml:space="preserve">23 </w:t>
      </w:r>
      <w:r w:rsidRPr="00AC5AEE">
        <w:rPr>
          <w:rFonts w:ascii="Times" w:eastAsia="Times" w:hAnsi="Times" w:cs="Times New Roman"/>
          <w:i/>
          <w:sz w:val="16"/>
          <w:szCs w:val="20"/>
          <w:lang w:val="en-US" w:eastAsia="es-EC"/>
        </w:rPr>
        <w:tab/>
        <w:t>Ibid</w:t>
      </w:r>
      <w:r w:rsidRPr="00AC5AEE">
        <w:rPr>
          <w:rFonts w:ascii="Times" w:eastAsia="Times" w:hAnsi="Times" w:cs="Times New Roman"/>
          <w:sz w:val="16"/>
          <w:szCs w:val="20"/>
          <w:lang w:val="en-US" w:eastAsia="es-EC"/>
        </w:rPr>
        <w:t>., p. 15.</w:t>
      </w:r>
    </w:p>
    <w:p w:rsidR="00CE0BE8" w:rsidRDefault="00CE0BE8"/>
    <w:sectPr w:rsidR="00CE0BE8" w:rsidSect="00700C13">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EE"/>
    <w:rsid w:val="0011514B"/>
    <w:rsid w:val="005E01F6"/>
    <w:rsid w:val="00700C13"/>
    <w:rsid w:val="00AC5AEE"/>
    <w:rsid w:val="00B53AB0"/>
    <w:rsid w:val="00CE0BE8"/>
    <w:rsid w:val="00D9768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line="48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semiHidden/>
    <w:unhideWhenUsed/>
    <w:rsid w:val="00AC5A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line="48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semiHidden/>
    <w:unhideWhenUsed/>
    <w:rsid w:val="00AC5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3020</Words>
  <Characters>16613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dc:creator>
  <cp:lastModifiedBy>Jorge Vallejo</cp:lastModifiedBy>
  <cp:revision>3</cp:revision>
  <dcterms:created xsi:type="dcterms:W3CDTF">2015-05-04T00:16:00Z</dcterms:created>
  <dcterms:modified xsi:type="dcterms:W3CDTF">2018-10-02T19:27:00Z</dcterms:modified>
</cp:coreProperties>
</file>