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08" w:rsidRDefault="00741208" w:rsidP="0074120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Textoennegrita"/>
          <w:rFonts w:ascii="Helvetica" w:hAnsi="Helvetica" w:cs="Helvetica"/>
          <w:color w:val="666666"/>
          <w:sz w:val="22"/>
          <w:szCs w:val="22"/>
          <w:u w:val="single"/>
        </w:rPr>
        <w:t>Artículo 1100.-  Carácter inmobiliario de la hipoteca</w:t>
      </w:r>
    </w:p>
    <w:p w:rsidR="00741208" w:rsidRDefault="00741208" w:rsidP="0074120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La hipoteca debe recaer sobre inmuebles específicamente determinados.</w:t>
      </w:r>
    </w:p>
    <w:p w:rsidR="007B214B" w:rsidRDefault="007B214B">
      <w:bookmarkStart w:id="0" w:name="_GoBack"/>
      <w:bookmarkEnd w:id="0"/>
    </w:p>
    <w:sectPr w:rsidR="007B21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08"/>
    <w:rsid w:val="00741208"/>
    <w:rsid w:val="007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41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41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2014-05-27T00:06:00Z</dcterms:created>
  <dcterms:modified xsi:type="dcterms:W3CDTF">2014-05-27T00:06:00Z</dcterms:modified>
</cp:coreProperties>
</file>