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A4" w:rsidRDefault="002810A4" w:rsidP="002810A4">
      <w:pPr>
        <w:pStyle w:val="BodyText"/>
        <w:jc w:val="center"/>
      </w:pPr>
      <w:r>
        <w:rPr>
          <w:rFonts w:ascii="Verdana" w:hAnsi="Verdana"/>
          <w:b/>
          <w:bCs/>
          <w:color w:val="008000"/>
          <w:sz w:val="27"/>
          <w:szCs w:val="27"/>
        </w:rPr>
        <w:t>Planeación</w:t>
      </w:r>
    </w:p>
    <w:p w:rsidR="002810A4" w:rsidRDefault="002810A4" w:rsidP="002810A4">
      <w:pPr>
        <w:jc w:val="center"/>
      </w:pPr>
      <w:r>
        <w:rPr>
          <w:rFonts w:ascii="Verdana" w:hAnsi="Verdana"/>
          <w:b/>
          <w:bCs/>
          <w:color w:val="008000"/>
          <w:lang w:val="es-CO"/>
        </w:rPr>
        <w:t> </w:t>
      </w:r>
    </w:p>
    <w:p w:rsidR="002810A4" w:rsidRDefault="002810A4" w:rsidP="002810A4">
      <w:pPr>
        <w:jc w:val="center"/>
      </w:pPr>
      <w:r>
        <w:rPr>
          <w:rFonts w:ascii="Verdana" w:hAnsi="Verdana"/>
          <w:b/>
          <w:bCs/>
          <w:color w:val="008000"/>
          <w:lang w:val="es-CO"/>
        </w:rPr>
        <w:t>300. Planeación</w:t>
      </w:r>
    </w:p>
    <w:p w:rsidR="002810A4" w:rsidRDefault="002810A4" w:rsidP="002810A4">
      <w:pPr>
        <w:jc w:val="both"/>
      </w:pPr>
      <w:r>
        <w:rPr>
          <w:rFonts w:ascii="Verdana" w:hAnsi="Verdana"/>
          <w:color w:val="008000"/>
          <w:lang w:val="es-CO"/>
        </w:rPr>
        <w:t> </w:t>
      </w:r>
    </w:p>
    <w:p w:rsidR="002810A4" w:rsidRDefault="002810A4" w:rsidP="002810A4">
      <w:pPr>
        <w:pStyle w:val="Heading4"/>
        <w:spacing w:before="0"/>
      </w:pPr>
      <w:r>
        <w:rPr>
          <w:rFonts w:ascii="Verdana" w:hAnsi="Verdana"/>
          <w:color w:val="008000"/>
          <w:sz w:val="20"/>
          <w:szCs w:val="20"/>
          <w:lang w:val="es-CO"/>
        </w:rPr>
        <w:t>Introducción</w:t>
      </w:r>
    </w:p>
    <w:p w:rsidR="002810A4" w:rsidRDefault="002810A4" w:rsidP="002810A4">
      <w:pPr>
        <w:jc w:val="both"/>
      </w:pPr>
      <w:r>
        <w:rPr>
          <w:rFonts w:ascii="Verdana" w:hAnsi="Verdana"/>
          <w:lang w:val="es-CO"/>
        </w:rPr>
        <w:t> </w:t>
      </w:r>
    </w:p>
    <w:p w:rsidR="002810A4" w:rsidRDefault="002810A4" w:rsidP="002810A4">
      <w:pPr>
        <w:pStyle w:val="BodyTextIndent2"/>
        <w:spacing w:after="0"/>
      </w:pPr>
      <w:r>
        <w:rPr>
          <w:rFonts w:ascii="Verdana" w:hAnsi="Verdana"/>
          <w:lang w:val="es-CO"/>
        </w:rPr>
        <w:t>El propósito de esta Norma Internacional de Auditoría (NIA) es establecer normas y proporcionar lineamientos sobre la planeación de una auditoría de estados financieros. Esta NIA tiene como marco de referencia el contexto de las auditorías recurrentes. En una primera auditoría, el auditor puede necesitar extender el proceso de planeación más allá de los asuntos que aquí se discuten.</w:t>
      </w:r>
    </w:p>
    <w:p w:rsidR="002810A4" w:rsidRDefault="002810A4" w:rsidP="002810A4">
      <w:r>
        <w:rPr>
          <w:rFonts w:ascii="Verdana" w:hAnsi="Verdana"/>
          <w:color w:val="008000"/>
          <w:lang w:val="es-CO"/>
        </w:rPr>
        <w:t> </w:t>
      </w:r>
    </w:p>
    <w:p w:rsidR="002810A4" w:rsidRDefault="002810A4" w:rsidP="002810A4">
      <w:r>
        <w:rPr>
          <w:rFonts w:ascii="Verdana" w:hAnsi="Verdana"/>
          <w:b/>
          <w:bCs/>
          <w:color w:val="008000"/>
          <w:lang w:val="es-CO"/>
        </w:rPr>
        <w:t>El auditor deberá planear el trabajo de auditoría de modo que la auditoría sea desarrollada de una manera efectiva.</w:t>
      </w:r>
      <w:r>
        <w:rPr>
          <w:rFonts w:ascii="Verdana" w:hAnsi="Verdana"/>
          <w:color w:val="008000"/>
          <w:lang w:val="es-CO"/>
        </w:rPr>
        <w:t xml:space="preserve"> </w:t>
      </w:r>
    </w:p>
    <w:p w:rsidR="002810A4" w:rsidRDefault="002810A4" w:rsidP="002810A4">
      <w:r>
        <w:rPr>
          <w:rFonts w:ascii="Verdana" w:hAnsi="Verdana"/>
          <w:lang w:val="es-CO"/>
        </w:rPr>
        <w:t> </w:t>
      </w:r>
    </w:p>
    <w:p w:rsidR="002810A4" w:rsidRDefault="002810A4" w:rsidP="002810A4">
      <w:r>
        <w:rPr>
          <w:rFonts w:ascii="Verdana" w:hAnsi="Verdana"/>
          <w:lang w:val="es-CO"/>
        </w:rPr>
        <w:t>“Planeación” significa desarrollar una estrategia general y un enfoque detallado para la naturaleza, oportunidad y alcance esperados de la auditoría. El auditor planea desarrollar la auditoría de manera eficiente y oportuna.</w:t>
      </w:r>
    </w:p>
    <w:p w:rsidR="002810A4" w:rsidRDefault="002810A4" w:rsidP="002810A4">
      <w:r>
        <w:rPr>
          <w:rFonts w:ascii="Verdana" w:hAnsi="Verdana"/>
          <w:color w:val="008000"/>
          <w:lang w:val="es-CO"/>
        </w:rPr>
        <w:t> </w:t>
      </w:r>
    </w:p>
    <w:p w:rsidR="002810A4" w:rsidRDefault="002810A4" w:rsidP="002810A4">
      <w:pPr>
        <w:pStyle w:val="Heading4"/>
        <w:spacing w:before="0"/>
      </w:pPr>
      <w:r>
        <w:rPr>
          <w:rFonts w:ascii="Verdana" w:hAnsi="Verdana"/>
          <w:color w:val="008000"/>
          <w:sz w:val="20"/>
          <w:szCs w:val="20"/>
          <w:lang w:val="es-CO"/>
        </w:rPr>
        <w:t>Planeación del trabajo</w:t>
      </w:r>
    </w:p>
    <w:p w:rsidR="002810A4" w:rsidRDefault="002810A4" w:rsidP="002810A4">
      <w:r>
        <w:rPr>
          <w:rFonts w:ascii="Verdana" w:hAnsi="Verdana"/>
          <w:lang w:val="es-CO"/>
        </w:rPr>
        <w:t> </w:t>
      </w:r>
    </w:p>
    <w:p w:rsidR="002810A4" w:rsidRDefault="002810A4" w:rsidP="002810A4">
      <w:pPr>
        <w:pStyle w:val="BodyText"/>
        <w:spacing w:before="0" w:beforeAutospacing="0" w:after="0" w:afterAutospacing="0"/>
      </w:pPr>
      <w:r>
        <w:rPr>
          <w:rFonts w:ascii="Verdana" w:hAnsi="Verdana"/>
          <w:sz w:val="20"/>
          <w:szCs w:val="20"/>
          <w:lang w:val="es-CO"/>
        </w:rPr>
        <w:t>La planeación adecuada del trabajo  de auditoría ayuda a asegurar que se presta atención adecuada a áreas importantes de la auditoría, que los problemas potenciales son identificados y que el trabajo es llevado a cabo en forma expedita. La planeación también ayuda para la apropiada asignación de trabajo a los auxiliares y para la coordinación del trabajo hecho por otros auditores y expertos.</w:t>
      </w:r>
    </w:p>
    <w:p w:rsidR="002810A4" w:rsidRDefault="002810A4" w:rsidP="002810A4">
      <w:pPr>
        <w:pStyle w:val="BodyText"/>
        <w:spacing w:before="0" w:beforeAutospacing="0" w:after="0" w:afterAutospacing="0"/>
      </w:pPr>
      <w:r>
        <w:rPr>
          <w:rFonts w:ascii="Verdana" w:hAnsi="Verdana"/>
          <w:sz w:val="20"/>
          <w:szCs w:val="20"/>
          <w:lang w:val="es-CO"/>
        </w:rPr>
        <w:t> </w:t>
      </w:r>
    </w:p>
    <w:p w:rsidR="002810A4" w:rsidRDefault="002810A4" w:rsidP="002810A4">
      <w:pPr>
        <w:pStyle w:val="BodyText2"/>
        <w:spacing w:before="0" w:beforeAutospacing="0" w:after="0" w:afterAutospacing="0"/>
      </w:pPr>
      <w:r>
        <w:rPr>
          <w:rFonts w:ascii="Verdana" w:hAnsi="Verdana"/>
          <w:lang w:val="es-CO"/>
        </w:rPr>
        <w:t>El grado de planeación variará de acuerdo con el tamaño de la entidad, la complejidad de la auditoría,  la experiencia del auditor con la entidad y su conocimiento del negocio.</w:t>
      </w:r>
    </w:p>
    <w:p w:rsidR="002810A4" w:rsidRDefault="002810A4" w:rsidP="002810A4">
      <w:r>
        <w:rPr>
          <w:rFonts w:ascii="Verdana" w:hAnsi="Verdana"/>
          <w:lang w:val="es-CO"/>
        </w:rPr>
        <w:t> </w:t>
      </w:r>
    </w:p>
    <w:p w:rsidR="002810A4" w:rsidRDefault="002810A4" w:rsidP="002810A4">
      <w:pPr>
        <w:pStyle w:val="BodyText2"/>
        <w:spacing w:before="0" w:beforeAutospacing="0" w:after="0" w:afterAutospacing="0"/>
      </w:pPr>
      <w:r>
        <w:rPr>
          <w:rFonts w:ascii="Verdana" w:hAnsi="Verdana"/>
          <w:lang w:val="es-CO"/>
        </w:rPr>
        <w:t>Adquirir conocimiento del negocio es una parte importante de la planeación del trabajo. El conocimiento del negocio por el auditor ayuda en la identificación  de eventos, transacciones y prácticas que puedan tener un efecto importante sobre los estados financieros.</w:t>
      </w:r>
    </w:p>
    <w:p w:rsidR="002810A4" w:rsidRDefault="002810A4" w:rsidP="002810A4">
      <w:r>
        <w:rPr>
          <w:rFonts w:ascii="Verdana" w:hAnsi="Verdana"/>
          <w:lang w:val="es-CO"/>
        </w:rPr>
        <w:t> </w:t>
      </w:r>
    </w:p>
    <w:p w:rsidR="002810A4" w:rsidRDefault="002810A4" w:rsidP="002810A4">
      <w:pPr>
        <w:pStyle w:val="BodyText2"/>
        <w:spacing w:before="0" w:beforeAutospacing="0" w:after="0" w:afterAutospacing="0"/>
      </w:pPr>
      <w:r>
        <w:rPr>
          <w:rFonts w:ascii="Verdana" w:hAnsi="Verdana"/>
          <w:lang w:val="es-CO"/>
        </w:rPr>
        <w:t xml:space="preserve">El auditor puede desear discutir elementos del plan global de auditoría y ciertos procedimientos de auditoría con el comité de auditoría, la administración y personal de la entidad, para mejorar la efectividad y eficiencia de la auditoría y para coordinar los procedimientos de auditoría con el trabajo de los empleados de </w:t>
      </w:r>
      <w:r>
        <w:rPr>
          <w:rFonts w:ascii="Verdana" w:hAnsi="Verdana"/>
          <w:lang w:val="es-CO"/>
        </w:rPr>
        <w:lastRenderedPageBreak/>
        <w:t xml:space="preserve">la entidad. El plan global de auditoría y el programa de auditoría, sin embargo, permanecen como responsabilidad del auditor.   </w:t>
      </w:r>
    </w:p>
    <w:p w:rsidR="002810A4" w:rsidRDefault="002810A4" w:rsidP="002810A4">
      <w:r>
        <w:rPr>
          <w:rFonts w:ascii="Verdana" w:hAnsi="Verdana"/>
          <w:color w:val="008000"/>
          <w:lang w:val="es-CO"/>
        </w:rPr>
        <w:t> </w:t>
      </w:r>
    </w:p>
    <w:p w:rsidR="002810A4" w:rsidRDefault="002810A4" w:rsidP="002810A4">
      <w:pPr>
        <w:pStyle w:val="Heading4"/>
        <w:spacing w:before="0"/>
      </w:pPr>
      <w:r>
        <w:rPr>
          <w:rFonts w:ascii="Verdana" w:hAnsi="Verdana"/>
          <w:color w:val="008000"/>
          <w:sz w:val="20"/>
          <w:szCs w:val="20"/>
          <w:lang w:val="es-CO"/>
        </w:rPr>
        <w:t>El Plan global de auditoría</w:t>
      </w:r>
    </w:p>
    <w:p w:rsidR="002810A4" w:rsidRDefault="002810A4" w:rsidP="002810A4">
      <w:r>
        <w:rPr>
          <w:rFonts w:ascii="Verdana" w:hAnsi="Verdana"/>
          <w:color w:val="008000"/>
          <w:lang w:val="es-CO"/>
        </w:rPr>
        <w:t> </w:t>
      </w:r>
    </w:p>
    <w:p w:rsidR="002810A4" w:rsidRDefault="002810A4" w:rsidP="002810A4">
      <w:r>
        <w:rPr>
          <w:rFonts w:ascii="Verdana" w:hAnsi="Verdana"/>
          <w:b/>
          <w:bCs/>
          <w:color w:val="008000"/>
          <w:lang w:val="es-CO"/>
        </w:rPr>
        <w:t>El auditor deberá desarrollar y documentar un plan global de auditoría describiendo el alcance y  conducción esperados de la auditoría.</w:t>
      </w:r>
      <w:r>
        <w:rPr>
          <w:rFonts w:ascii="Verdana" w:hAnsi="Verdana"/>
          <w:b/>
          <w:bCs/>
          <w:lang w:val="es-CO"/>
        </w:rPr>
        <w:t xml:space="preserve"> </w:t>
      </w:r>
      <w:r>
        <w:rPr>
          <w:rFonts w:ascii="Verdana" w:hAnsi="Verdana"/>
          <w:lang w:val="es-CO"/>
        </w:rPr>
        <w:t>Mientras que el registro del plan global de auditoría necesitará estar suficientemente detallado para guiar el desarrollo del programa de auditoría, su forma y contenido variarán de acuerdo al tamaño de la entidad, a la complejidad de la auditoría y a la metodología  y tecnologías específicas usadas por el auditor.</w:t>
      </w:r>
    </w:p>
    <w:p w:rsidR="002810A4" w:rsidRDefault="002810A4" w:rsidP="002810A4">
      <w:r>
        <w:rPr>
          <w:rFonts w:ascii="Verdana" w:hAnsi="Verdana"/>
          <w:lang w:val="es-CO"/>
        </w:rPr>
        <w:t> </w:t>
      </w:r>
    </w:p>
    <w:p w:rsidR="002810A4" w:rsidRDefault="002810A4" w:rsidP="002810A4">
      <w:pPr>
        <w:pStyle w:val="BodyText2"/>
        <w:spacing w:before="0" w:beforeAutospacing="0" w:after="0" w:afterAutospacing="0"/>
      </w:pPr>
      <w:r>
        <w:rPr>
          <w:rFonts w:ascii="Verdana" w:hAnsi="Verdana"/>
          <w:lang w:val="es-CO"/>
        </w:rPr>
        <w:t xml:space="preserve">Los asuntos que tendrá que considerar el auditor al desarrollar el plan global de auditoría incluyen: </w:t>
      </w:r>
    </w:p>
    <w:p w:rsidR="002810A4" w:rsidRDefault="002810A4" w:rsidP="002810A4">
      <w:pPr>
        <w:pStyle w:val="BodyText2"/>
        <w:spacing w:before="0" w:beforeAutospacing="0" w:after="0" w:afterAutospacing="0"/>
      </w:pPr>
      <w:r>
        <w:rPr>
          <w:rFonts w:ascii="Verdana" w:hAnsi="Verdana"/>
          <w:color w:val="008000"/>
          <w:lang w:val="es-CO"/>
        </w:rPr>
        <w:t> </w:t>
      </w:r>
    </w:p>
    <w:p w:rsidR="002810A4" w:rsidRDefault="002810A4" w:rsidP="002810A4">
      <w:pPr>
        <w:pStyle w:val="BodyText2"/>
        <w:spacing w:before="0" w:beforeAutospacing="0" w:after="0" w:afterAutospacing="0"/>
      </w:pPr>
      <w:r>
        <w:rPr>
          <w:rFonts w:ascii="Verdana" w:hAnsi="Verdana"/>
          <w:i/>
          <w:iCs/>
          <w:color w:val="008000"/>
          <w:lang w:val="es-CO"/>
        </w:rPr>
        <w:t>Conocimiento del negocio</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Factores económicos generales y condiciones de la industria que afectan al negocio de la entidad.</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Características importantes de la entidad, su negocio, su desempeño financiero y sus requerimientos para informar, incluyendo cambios desde la fecha de la auditoría anterior.</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El nivel general de competencia de la administración.</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Verdana" w:hAnsi="Verdana"/>
          <w:i/>
          <w:iCs/>
          <w:color w:val="008000"/>
          <w:lang w:val="es-CO"/>
        </w:rPr>
        <w:t> </w:t>
      </w:r>
    </w:p>
    <w:p w:rsidR="002810A4" w:rsidRDefault="002810A4" w:rsidP="002810A4">
      <w:pPr>
        <w:pStyle w:val="BodyText2"/>
        <w:spacing w:before="0" w:beforeAutospacing="0" w:after="0" w:afterAutospacing="0"/>
      </w:pPr>
      <w:r>
        <w:rPr>
          <w:rFonts w:ascii="Verdana" w:hAnsi="Verdana"/>
          <w:i/>
          <w:iCs/>
          <w:color w:val="008000"/>
          <w:lang w:val="es-CO"/>
        </w:rPr>
        <w:t>Comprensión de los sistemas de contabilidad y de control interno</w:t>
      </w:r>
    </w:p>
    <w:p w:rsidR="002810A4" w:rsidRDefault="002810A4" w:rsidP="002810A4">
      <w:pPr>
        <w:pStyle w:val="BodyText2"/>
        <w:spacing w:before="0" w:beforeAutospacing="0" w:after="0" w:afterAutospacing="0"/>
      </w:pPr>
      <w:r>
        <w:rPr>
          <w:rFonts w:ascii="Verdana" w:hAnsi="Verdana"/>
          <w:i/>
          <w:iCs/>
          <w:color w:val="008000"/>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Las políticas contables adoptadas por la entidad y los cambios en esas políticas.</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El efecto de pronunciamientos nuevos de contabilidad y auditoría.</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El conocimiento adquirido del auditor sobre los sistemas de contabilidad y de control interno y el relativo énfasis que se espera aplicar en las pruebas de procedimientos de control y otros procedimientos sustantivos.</w:t>
      </w:r>
    </w:p>
    <w:p w:rsidR="002810A4" w:rsidRDefault="002810A4" w:rsidP="002810A4">
      <w:pPr>
        <w:pStyle w:val="BodyText2"/>
        <w:spacing w:before="0" w:beforeAutospacing="0" w:after="0" w:afterAutospacing="0"/>
      </w:pPr>
      <w:r>
        <w:rPr>
          <w:rFonts w:ascii="Verdana" w:hAnsi="Verdana"/>
          <w:color w:val="008000"/>
          <w:lang w:val="es-CO"/>
        </w:rPr>
        <w:t> </w:t>
      </w:r>
    </w:p>
    <w:p w:rsidR="002810A4" w:rsidRDefault="002810A4" w:rsidP="002810A4">
      <w:pPr>
        <w:pStyle w:val="BodyText2"/>
        <w:spacing w:before="0" w:beforeAutospacing="0" w:after="0" w:afterAutospacing="0"/>
      </w:pPr>
      <w:r>
        <w:rPr>
          <w:rFonts w:ascii="Verdana" w:hAnsi="Verdana"/>
          <w:i/>
          <w:iCs/>
          <w:color w:val="008000"/>
          <w:lang w:val="es-CO"/>
        </w:rPr>
        <w:t>Riesgos e importancia relativa</w:t>
      </w:r>
    </w:p>
    <w:p w:rsidR="002810A4" w:rsidRDefault="002810A4" w:rsidP="002810A4">
      <w:pPr>
        <w:pStyle w:val="BodyText2"/>
        <w:spacing w:before="0" w:beforeAutospacing="0" w:after="0" w:afterAutospacing="0"/>
      </w:pPr>
      <w:r>
        <w:rPr>
          <w:rFonts w:ascii="Verdana" w:hAnsi="Verdana"/>
          <w:i/>
          <w:iCs/>
          <w:color w:val="008000"/>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Las evaluaciones esperadas de los riesgos inherentes y de control y la identificación de áreas de auditoría importantes.</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El establecimiento de niveles de importancia relativa para propósitos de auditoría.</w:t>
      </w:r>
    </w:p>
    <w:p w:rsidR="002810A4" w:rsidRDefault="002810A4" w:rsidP="002810A4">
      <w:pPr>
        <w:pStyle w:val="BodyText2"/>
        <w:spacing w:before="0" w:beforeAutospacing="0" w:after="0" w:afterAutospacing="0"/>
      </w:pPr>
      <w:r>
        <w:rPr>
          <w:rFonts w:ascii="Verdana" w:hAnsi="Verdana"/>
          <w:lang w:val="es-CO"/>
        </w:rPr>
        <w:lastRenderedPageBreak/>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La posibilidad de representaciones erróneas, incluyendo la experiencia de períodos pasados, o de fraude.</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La identificación de áreas de contabilidad complejas incluyendo las que implican estimaciones contables.</w:t>
      </w:r>
    </w:p>
    <w:p w:rsidR="002810A4" w:rsidRDefault="002810A4" w:rsidP="002810A4">
      <w:pPr>
        <w:pStyle w:val="BodyText2"/>
        <w:spacing w:before="0" w:beforeAutospacing="0" w:after="0" w:afterAutospacing="0"/>
      </w:pPr>
      <w:r>
        <w:rPr>
          <w:rFonts w:ascii="Verdana" w:hAnsi="Verdana"/>
          <w:color w:val="008000"/>
          <w:lang w:val="es-CO"/>
        </w:rPr>
        <w:t> </w:t>
      </w:r>
    </w:p>
    <w:p w:rsidR="002810A4" w:rsidRDefault="002810A4" w:rsidP="002810A4">
      <w:pPr>
        <w:pStyle w:val="BodyText2"/>
        <w:spacing w:before="0" w:beforeAutospacing="0" w:after="0" w:afterAutospacing="0"/>
      </w:pPr>
      <w:r>
        <w:rPr>
          <w:rFonts w:ascii="Verdana" w:hAnsi="Verdana"/>
          <w:i/>
          <w:iCs/>
          <w:color w:val="008000"/>
          <w:lang w:val="es-CO"/>
        </w:rPr>
        <w:t>Naturaleza, oportunidad y alcance de los procedimientos</w:t>
      </w:r>
    </w:p>
    <w:p w:rsidR="002810A4" w:rsidRDefault="002810A4" w:rsidP="002810A4">
      <w:pPr>
        <w:pStyle w:val="BodyText2"/>
        <w:spacing w:before="0" w:beforeAutospacing="0" w:after="0" w:afterAutospacing="0"/>
      </w:pPr>
      <w:r>
        <w:rPr>
          <w:rFonts w:ascii="Verdana" w:hAnsi="Verdana"/>
          <w:i/>
          <w:iCs/>
          <w:color w:val="008000"/>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Posible cambio de énfasis sobre áreas específicas de auditoría.</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El efecto de la tecnología de información sobre la auditoría.</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El trabajo de auditoría interna y su efecto esperado sobre los procedimientos de auditoría externa.</w:t>
      </w:r>
    </w:p>
    <w:p w:rsidR="002810A4" w:rsidRDefault="002810A4" w:rsidP="002810A4">
      <w:pPr>
        <w:pStyle w:val="BodyText2"/>
        <w:spacing w:before="0" w:beforeAutospacing="0" w:after="0" w:afterAutospacing="0"/>
      </w:pPr>
      <w:r>
        <w:rPr>
          <w:rFonts w:ascii="Verdana" w:hAnsi="Verdana"/>
          <w:color w:val="008000"/>
          <w:lang w:val="es-CO"/>
        </w:rPr>
        <w:t> </w:t>
      </w:r>
    </w:p>
    <w:p w:rsidR="002810A4" w:rsidRDefault="002810A4" w:rsidP="002810A4">
      <w:pPr>
        <w:pStyle w:val="BodyText2"/>
        <w:spacing w:before="0" w:beforeAutospacing="0" w:after="0" w:afterAutospacing="0"/>
      </w:pPr>
      <w:r>
        <w:rPr>
          <w:rFonts w:ascii="Verdana" w:hAnsi="Verdana"/>
          <w:i/>
          <w:iCs/>
          <w:color w:val="008000"/>
          <w:lang w:val="es-CO"/>
        </w:rPr>
        <w:t>Coordinación, dirección, supervisión y revisión</w:t>
      </w:r>
    </w:p>
    <w:p w:rsidR="002810A4" w:rsidRDefault="002810A4" w:rsidP="002810A4">
      <w:pPr>
        <w:pStyle w:val="BodyText2"/>
        <w:spacing w:before="0" w:beforeAutospacing="0" w:after="0" w:afterAutospacing="0"/>
      </w:pPr>
      <w:r>
        <w:rPr>
          <w:rFonts w:ascii="Verdana" w:hAnsi="Verdana"/>
          <w:i/>
          <w:iCs/>
          <w:color w:val="008000"/>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 xml:space="preserve">La participación de otros auditores en </w:t>
      </w:r>
      <w:proofErr w:type="gramStart"/>
      <w:r>
        <w:rPr>
          <w:rFonts w:ascii="Verdana" w:hAnsi="Verdana"/>
          <w:lang w:val="es-CO"/>
        </w:rPr>
        <w:t>la auditoría de otros componentes, por ejemplo, subsidiarias, sucursales</w:t>
      </w:r>
      <w:proofErr w:type="gramEnd"/>
      <w:r>
        <w:rPr>
          <w:rFonts w:ascii="Verdana" w:hAnsi="Verdana"/>
          <w:lang w:val="es-CO"/>
        </w:rPr>
        <w:t xml:space="preserve"> y divisiones.</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La participación de especialistas de otras disciplinas.</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El número de localidades.</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Requerimientos de personal.</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Verdana" w:hAnsi="Verdana"/>
          <w:i/>
          <w:iCs/>
          <w:lang w:val="es-CO"/>
        </w:rPr>
        <w:t>Otros asuntos</w:t>
      </w:r>
    </w:p>
    <w:p w:rsidR="002810A4" w:rsidRDefault="002810A4" w:rsidP="002810A4">
      <w:pPr>
        <w:pStyle w:val="BodyText2"/>
        <w:spacing w:before="0" w:beforeAutospacing="0" w:after="0" w:afterAutospacing="0"/>
      </w:pPr>
      <w:r>
        <w:rPr>
          <w:rFonts w:ascii="Verdana" w:hAnsi="Verdana"/>
          <w:i/>
          <w:iCs/>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La posibilidad de que el supuesto de negocio en marcha pueda ser cuestionado.</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Condiciones que requieran atención especial, como la existencia de partes relacionadas.</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Los términos del trabajo y cualesquiera  responsabilidades estatutarias.</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Symbol" w:hAnsi="Symbol"/>
          <w:lang w:val="es-CO"/>
        </w:rPr>
        <w:t></w:t>
      </w:r>
      <w:r>
        <w:rPr>
          <w:sz w:val="14"/>
          <w:szCs w:val="14"/>
          <w:lang w:val="es-CO"/>
        </w:rPr>
        <w:t xml:space="preserve">       </w:t>
      </w:r>
      <w:r>
        <w:rPr>
          <w:rFonts w:ascii="Verdana" w:hAnsi="Verdana"/>
          <w:lang w:val="es-CO"/>
        </w:rPr>
        <w:t>La naturaleza y oportunidad de los informes u otras comunicaciones con la entidad que se esperan de acuerdo con los términos  del trabajo.</w:t>
      </w:r>
    </w:p>
    <w:p w:rsidR="002810A4" w:rsidRDefault="002810A4" w:rsidP="002810A4">
      <w:pPr>
        <w:pStyle w:val="BodyText2"/>
        <w:spacing w:before="0" w:beforeAutospacing="0" w:after="0" w:afterAutospacing="0"/>
      </w:pPr>
      <w:r>
        <w:rPr>
          <w:rFonts w:ascii="Verdana" w:hAnsi="Verdana"/>
          <w:color w:val="008000"/>
          <w:lang w:val="es-CO"/>
        </w:rPr>
        <w:t> </w:t>
      </w:r>
    </w:p>
    <w:p w:rsidR="002810A4" w:rsidRDefault="002810A4" w:rsidP="002810A4">
      <w:pPr>
        <w:pStyle w:val="BodyText2"/>
        <w:spacing w:before="0" w:beforeAutospacing="0" w:after="0" w:afterAutospacing="0"/>
      </w:pPr>
      <w:r>
        <w:rPr>
          <w:rFonts w:ascii="Verdana" w:hAnsi="Verdana"/>
          <w:b/>
          <w:bCs/>
          <w:color w:val="008000"/>
          <w:lang w:val="es-CO"/>
        </w:rPr>
        <w:t>El programa de auditoría</w:t>
      </w:r>
    </w:p>
    <w:p w:rsidR="002810A4" w:rsidRDefault="002810A4" w:rsidP="002810A4">
      <w:pPr>
        <w:pStyle w:val="BodyText2"/>
        <w:spacing w:before="0" w:beforeAutospacing="0" w:after="0" w:afterAutospacing="0"/>
      </w:pPr>
      <w:r>
        <w:rPr>
          <w:rFonts w:ascii="Verdana" w:hAnsi="Verdana"/>
          <w:b/>
          <w:bCs/>
          <w:color w:val="008000"/>
          <w:lang w:val="es-CO"/>
        </w:rPr>
        <w:t> </w:t>
      </w:r>
    </w:p>
    <w:p w:rsidR="002810A4" w:rsidRDefault="002810A4" w:rsidP="002810A4">
      <w:pPr>
        <w:pStyle w:val="BodyText2"/>
        <w:spacing w:before="0" w:beforeAutospacing="0" w:after="0" w:afterAutospacing="0"/>
      </w:pPr>
      <w:r>
        <w:rPr>
          <w:rFonts w:ascii="Verdana" w:hAnsi="Verdana"/>
          <w:b/>
          <w:bCs/>
          <w:color w:val="008000"/>
          <w:lang w:val="es-CO"/>
        </w:rPr>
        <w:t xml:space="preserve">El auditor deberá desarrollar y documentar un programa de auditoría que exponga la naturaleza, oportunidad y alcance de los procedimientos de auditoría planeados que se requieren para implementar el plan de auditoría global. </w:t>
      </w:r>
      <w:r>
        <w:rPr>
          <w:rFonts w:ascii="Verdana" w:hAnsi="Verdana"/>
          <w:lang w:val="es-CO"/>
        </w:rPr>
        <w:t xml:space="preserve">El programa de auditoría sirve como un conjunto de </w:t>
      </w:r>
      <w:r>
        <w:rPr>
          <w:rFonts w:ascii="Verdana" w:hAnsi="Verdana"/>
          <w:lang w:val="es-CO"/>
        </w:rPr>
        <w:lastRenderedPageBreak/>
        <w:t>instrucciones a los auxiliares involucrados en la auditoría y como un medio para el control y registro de la ejecución apropiada del trabajo. El programa de auditoría puede también contener los objetivos de la auditoría para cada área y un presupuesto de tiempo con las horas estimadas para las diversas áreas o procedimientos de auditoría.</w:t>
      </w:r>
    </w:p>
    <w:p w:rsidR="002810A4" w:rsidRDefault="002810A4" w:rsidP="002810A4">
      <w:pPr>
        <w:pStyle w:val="BodyText2"/>
        <w:spacing w:before="0" w:beforeAutospacing="0" w:after="0" w:afterAutospacing="0"/>
      </w:pPr>
      <w:r>
        <w:rPr>
          <w:rFonts w:ascii="Verdana" w:hAnsi="Verdana"/>
          <w:lang w:val="es-CO"/>
        </w:rPr>
        <w:t> </w:t>
      </w:r>
    </w:p>
    <w:p w:rsidR="002810A4" w:rsidRDefault="002810A4" w:rsidP="002810A4">
      <w:pPr>
        <w:pStyle w:val="BodyText2"/>
        <w:spacing w:before="0" w:beforeAutospacing="0" w:after="0" w:afterAutospacing="0"/>
      </w:pPr>
      <w:r>
        <w:rPr>
          <w:rFonts w:ascii="Verdana" w:hAnsi="Verdana"/>
          <w:lang w:val="es-CO"/>
        </w:rPr>
        <w:t>Al preparar el programa de auditoría, el auditor deberá considerar las evaluaciones específicas de los riesgos inherentes y de control y el nivel requerido de certeza que tendrán que proporcionar los procedimientos sustantivos. El auditor deberá también considerar la oportunidad para las pruebas de controles y procedimientos sustantivos, la coordinación de cualquier ayuda esperada de la entidad, la disponibilidad de los auxiliares y la participación de otros auditores o especialistas. Los otros asuntos, anotados antes, pueden ser considerados en más detalle durante el desarrollo del programa de auditoría.</w:t>
      </w:r>
    </w:p>
    <w:p w:rsidR="002810A4" w:rsidRDefault="002810A4" w:rsidP="002810A4">
      <w:pPr>
        <w:pStyle w:val="BodyText2"/>
        <w:spacing w:before="0" w:beforeAutospacing="0" w:after="0" w:afterAutospacing="0"/>
      </w:pPr>
      <w:r>
        <w:rPr>
          <w:rFonts w:ascii="Verdana" w:hAnsi="Verdana"/>
          <w:color w:val="008000"/>
          <w:lang w:val="es-CO"/>
        </w:rPr>
        <w:t> </w:t>
      </w:r>
    </w:p>
    <w:p w:rsidR="002810A4" w:rsidRDefault="002810A4" w:rsidP="002810A4">
      <w:pPr>
        <w:pStyle w:val="BodyText2"/>
        <w:spacing w:before="0" w:beforeAutospacing="0" w:after="0" w:afterAutospacing="0"/>
      </w:pPr>
      <w:r>
        <w:rPr>
          <w:rFonts w:ascii="Verdana" w:hAnsi="Verdana"/>
          <w:b/>
          <w:bCs/>
          <w:color w:val="008000"/>
          <w:lang w:val="es-CO"/>
        </w:rPr>
        <w:t>Cambios al plan global de auditoría y al programa de auditoría</w:t>
      </w:r>
    </w:p>
    <w:p w:rsidR="002810A4" w:rsidRDefault="002810A4" w:rsidP="002810A4">
      <w:pPr>
        <w:pStyle w:val="BodyText2"/>
        <w:spacing w:before="0" w:beforeAutospacing="0" w:after="0" w:afterAutospacing="0"/>
      </w:pPr>
      <w:r>
        <w:rPr>
          <w:rFonts w:ascii="Verdana" w:hAnsi="Verdana"/>
          <w:color w:val="008000"/>
          <w:lang w:val="es-CO"/>
        </w:rPr>
        <w:t> </w:t>
      </w:r>
    </w:p>
    <w:p w:rsidR="002810A4" w:rsidRDefault="002810A4" w:rsidP="002810A4">
      <w:pPr>
        <w:pStyle w:val="NormalWeb"/>
        <w:spacing w:before="0" w:beforeAutospacing="0" w:after="0" w:afterAutospacing="0"/>
      </w:pPr>
      <w:r>
        <w:rPr>
          <w:rFonts w:ascii="Verdana" w:hAnsi="Verdana"/>
          <w:b/>
          <w:bCs/>
          <w:color w:val="008000"/>
          <w:sz w:val="20"/>
          <w:szCs w:val="20"/>
          <w:lang w:val="es-CO"/>
        </w:rPr>
        <w:t>El plan global de auditoría y el programa de auditoría deberán revisarse según sea necesario durante el curso de la auditoría.</w:t>
      </w:r>
      <w:r>
        <w:rPr>
          <w:rFonts w:ascii="Verdana" w:hAnsi="Verdana"/>
          <w:b/>
          <w:bCs/>
          <w:sz w:val="20"/>
          <w:szCs w:val="20"/>
          <w:lang w:val="es-CO"/>
        </w:rPr>
        <w:t xml:space="preserve"> </w:t>
      </w:r>
      <w:r>
        <w:rPr>
          <w:rFonts w:ascii="Verdana" w:hAnsi="Verdana"/>
          <w:sz w:val="20"/>
          <w:szCs w:val="20"/>
          <w:lang w:val="es-CO"/>
        </w:rPr>
        <w:t>La planeación es continua a lo largo del trabajo a causa de cambios en las condiciones o resultados inesperados de los procedimientos de auditoría. Deberán registrarse las razones para cambios importantes.</w:t>
      </w:r>
    </w:p>
    <w:p w:rsidR="002810A4" w:rsidRDefault="002810A4"/>
    <w:p w:rsidR="002810A4" w:rsidRDefault="002810A4"/>
    <w:sectPr w:rsidR="002810A4" w:rsidSect="007A6B02">
      <w:pgSz w:w="12240" w:h="15840" w:code="1"/>
      <w:pgMar w:top="1152" w:right="1152" w:bottom="1152"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810A4"/>
    <w:rsid w:val="000B63C6"/>
    <w:rsid w:val="001A378C"/>
    <w:rsid w:val="002810A4"/>
    <w:rsid w:val="007A6B02"/>
    <w:rsid w:val="008561A7"/>
    <w:rsid w:val="00BB22E9"/>
    <w:rsid w:val="00E54581"/>
    <w:rsid w:val="00EA3096"/>
    <w:rsid w:val="00FA0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C6"/>
  </w:style>
  <w:style w:type="paragraph" w:styleId="Heading4">
    <w:name w:val="heading 4"/>
    <w:basedOn w:val="Normal"/>
    <w:next w:val="Normal"/>
    <w:link w:val="Heading4Char"/>
    <w:uiPriority w:val="9"/>
    <w:semiHidden/>
    <w:unhideWhenUsed/>
    <w:qFormat/>
    <w:rsid w:val="002810A4"/>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link w:val="Heading7Char"/>
    <w:uiPriority w:val="9"/>
    <w:qFormat/>
    <w:rsid w:val="002810A4"/>
    <w:pPr>
      <w:spacing w:before="100" w:beforeAutospacing="1" w:after="100" w:afterAutospacing="1" w:line="240" w:lineRule="auto"/>
      <w:outlineLvl w:val="6"/>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810A4"/>
    <w:rPr>
      <w:rFonts w:ascii="Times New Roman" w:eastAsia="Times New Roman" w:hAnsi="Times New Roman" w:cs="Times New Roman"/>
      <w:sz w:val="24"/>
      <w:szCs w:val="24"/>
      <w:lang w:eastAsia="es-ES"/>
    </w:rPr>
  </w:style>
  <w:style w:type="paragraph" w:styleId="BodyText">
    <w:name w:val="Body Text"/>
    <w:basedOn w:val="Normal"/>
    <w:link w:val="BodyTextChar"/>
    <w:uiPriority w:val="99"/>
    <w:semiHidden/>
    <w:unhideWhenUsed/>
    <w:rsid w:val="002810A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dyTextChar">
    <w:name w:val="Body Text Char"/>
    <w:basedOn w:val="DefaultParagraphFont"/>
    <w:link w:val="BodyText"/>
    <w:uiPriority w:val="99"/>
    <w:semiHidden/>
    <w:rsid w:val="002810A4"/>
    <w:rPr>
      <w:rFonts w:ascii="Times New Roman" w:eastAsia="Times New Roman" w:hAnsi="Times New Roman" w:cs="Times New Roman"/>
      <w:sz w:val="24"/>
      <w:szCs w:val="24"/>
      <w:lang w:eastAsia="es-ES"/>
    </w:rPr>
  </w:style>
  <w:style w:type="paragraph" w:styleId="BodyText2">
    <w:name w:val="Body Text 2"/>
    <w:basedOn w:val="Normal"/>
    <w:link w:val="BodyText2Char"/>
    <w:uiPriority w:val="99"/>
    <w:semiHidden/>
    <w:unhideWhenUsed/>
    <w:rsid w:val="002810A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dyText2Char">
    <w:name w:val="Body Text 2 Char"/>
    <w:basedOn w:val="DefaultParagraphFont"/>
    <w:link w:val="BodyText2"/>
    <w:uiPriority w:val="99"/>
    <w:semiHidden/>
    <w:rsid w:val="002810A4"/>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2810A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4Char">
    <w:name w:val="Heading 4 Char"/>
    <w:basedOn w:val="DefaultParagraphFont"/>
    <w:link w:val="Heading4"/>
    <w:uiPriority w:val="9"/>
    <w:semiHidden/>
    <w:rsid w:val="002810A4"/>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iPriority w:val="99"/>
    <w:semiHidden/>
    <w:unhideWhenUsed/>
    <w:rsid w:val="002810A4"/>
    <w:pPr>
      <w:spacing w:after="120" w:line="480" w:lineRule="auto"/>
      <w:ind w:left="283"/>
    </w:pPr>
  </w:style>
  <w:style w:type="character" w:customStyle="1" w:styleId="BodyTextIndent2Char">
    <w:name w:val="Body Text Indent 2 Char"/>
    <w:basedOn w:val="DefaultParagraphFont"/>
    <w:link w:val="BodyTextIndent2"/>
    <w:uiPriority w:val="99"/>
    <w:semiHidden/>
    <w:rsid w:val="002810A4"/>
  </w:style>
</w:styles>
</file>

<file path=word/webSettings.xml><?xml version="1.0" encoding="utf-8"?>
<w:webSettings xmlns:r="http://schemas.openxmlformats.org/officeDocument/2006/relationships" xmlns:w="http://schemas.openxmlformats.org/wordprocessingml/2006/main">
  <w:divs>
    <w:div w:id="1490248700">
      <w:bodyDiv w:val="1"/>
      <w:marLeft w:val="0"/>
      <w:marRight w:val="0"/>
      <w:marTop w:val="0"/>
      <w:marBottom w:val="0"/>
      <w:divBdr>
        <w:top w:val="none" w:sz="0" w:space="0" w:color="auto"/>
        <w:left w:val="none" w:sz="0" w:space="0" w:color="auto"/>
        <w:bottom w:val="none" w:sz="0" w:space="0" w:color="auto"/>
        <w:right w:val="none" w:sz="0" w:space="0" w:color="auto"/>
      </w:divBdr>
    </w:div>
    <w:div w:id="195166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Mamy</cp:lastModifiedBy>
  <cp:revision>2</cp:revision>
  <dcterms:created xsi:type="dcterms:W3CDTF">2010-08-08T19:55:00Z</dcterms:created>
  <dcterms:modified xsi:type="dcterms:W3CDTF">2010-08-08T19:55:00Z</dcterms:modified>
</cp:coreProperties>
</file>