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92" w:rsidRPr="00855111" w:rsidRDefault="00E05739">
      <w:pPr>
        <w:rPr>
          <w:b/>
        </w:rPr>
      </w:pPr>
      <w:r w:rsidRPr="00855111">
        <w:rPr>
          <w:b/>
        </w:rPr>
        <w:t>Do you think Mr. C’s memory problems are stroke related? If so, how would the pathophysiology be different for Alzheimer dementia?</w:t>
      </w:r>
    </w:p>
    <w:p w:rsidR="00646612" w:rsidRPr="00855111" w:rsidRDefault="00564E45" w:rsidP="000D5279">
      <w:pPr>
        <w:spacing w:line="480" w:lineRule="auto"/>
        <w:rPr>
          <w:rFonts w:ascii="Calibri" w:eastAsia="Times New Roman" w:hAnsi="Calibri" w:cs="Times New Roman"/>
          <w:spacing w:val="5"/>
          <w:lang w:eastAsia="en-CA"/>
        </w:rPr>
      </w:pPr>
      <w:r w:rsidRPr="00855111">
        <w:rPr>
          <w:b/>
        </w:rPr>
        <w:tab/>
      </w:r>
      <w:r w:rsidRPr="00855111">
        <w:t>Mr. C’s memory problems can be attributed to his stroke (vascular dementia), Alzheimer’s disease or a combination of both.  Vascular de</w:t>
      </w:r>
      <w:r w:rsidR="007270E4" w:rsidRPr="00855111">
        <w:t>mentia is caused by a narrowing or blockage in the blood flow to the brain (</w:t>
      </w:r>
      <w:proofErr w:type="spellStart"/>
      <w:r w:rsidR="007270E4" w:rsidRPr="00855111">
        <w:t>MayoClinic</w:t>
      </w:r>
      <w:proofErr w:type="spellEnd"/>
      <w:r w:rsidR="007270E4" w:rsidRPr="00855111">
        <w:t>, 2007)</w:t>
      </w:r>
      <w:r w:rsidR="003C1D0B" w:rsidRPr="00855111">
        <w:t>. These infarcts are caused by an alteration in blood supply to areas to the brain as result o</w:t>
      </w:r>
      <w:r w:rsidR="00A35158" w:rsidRPr="00855111">
        <w:t>f</w:t>
      </w:r>
      <w:r w:rsidR="003C1D0B" w:rsidRPr="00855111">
        <w:t xml:space="preserve"> emboli, thrombus or hemorrhage (McCance &amp; Heuther, 2006).  Depending on the area of brain involved different </w:t>
      </w:r>
      <w:r w:rsidR="00A35158" w:rsidRPr="00855111">
        <w:t>deficits</w:t>
      </w:r>
      <w:r w:rsidR="003C1D0B" w:rsidRPr="00855111">
        <w:t xml:space="preserve"> may present.</w:t>
      </w:r>
      <w:r w:rsidR="0065600F" w:rsidRPr="00855111">
        <w:t xml:space="preserve"> A single infarct in the thalamus, the anterior cerebral artery, the parietal lobes or the cingulated gyrus can cause vascular dementia. </w:t>
      </w:r>
      <w:r w:rsidR="00646612" w:rsidRPr="00855111">
        <w:rPr>
          <w:rFonts w:ascii="Calibri" w:eastAsia="Times New Roman" w:hAnsi="Calibri" w:cs="Times New Roman"/>
          <w:spacing w:val="5"/>
          <w:lang w:eastAsia="en-CA"/>
        </w:rPr>
        <w:t xml:space="preserve">In Mr. C situation untreated diabetes may have resulted in small vessel disease. Small vessel disease occurs when there is an occlusion of small arteries and arterioles of the brain. It is most frequently associated with hypertension, diabetes and hypercholesterolemia (Rudd, 2002). Ischemia occurs as a result. Irreplaceable neurons are lost resulting in lesions in the brain. Patients often present with multi-infarct dementia rather than a defined area or focal stroke when this occurs (Hayashi, T., Shoji, M., &amp; Abe, K., 2006). </w:t>
      </w:r>
    </w:p>
    <w:p w:rsidR="003837B6" w:rsidRPr="00855111" w:rsidRDefault="003837B6" w:rsidP="000D5279">
      <w:pPr>
        <w:spacing w:line="480" w:lineRule="auto"/>
        <w:rPr>
          <w:b/>
        </w:rPr>
      </w:pPr>
      <w:r w:rsidRPr="00855111">
        <w:rPr>
          <w:b/>
        </w:rPr>
        <w:tab/>
      </w:r>
      <w:r w:rsidR="00646612" w:rsidRPr="00855111">
        <w:t>A</w:t>
      </w:r>
      <w:r w:rsidRPr="00855111">
        <w:t>lzheimer’s disease (AD)</w:t>
      </w:r>
      <w:r w:rsidR="00D70034" w:rsidRPr="00855111">
        <w:t xml:space="preserve"> can take several forms, f</w:t>
      </w:r>
      <w:r w:rsidRPr="00855111">
        <w:t>amilial early onset, late onset familial alzheimer’s dementia (FAD), nonhere</w:t>
      </w:r>
      <w:r w:rsidR="00F43674">
        <w:t xml:space="preserve">ditary and sporadic (McCance </w:t>
      </w:r>
      <w:proofErr w:type="gramStart"/>
      <w:r w:rsidR="00F43674">
        <w:t xml:space="preserve">&amp; </w:t>
      </w:r>
      <w:r w:rsidRPr="00855111">
        <w:t xml:space="preserve"> Heuther</w:t>
      </w:r>
      <w:proofErr w:type="gramEnd"/>
      <w:r w:rsidRPr="00855111">
        <w:t xml:space="preserve"> 2006).  At a molecular level this disease is characterized by the extracellular deposition of amyloid beta peptide</w:t>
      </w:r>
      <w:r w:rsidR="003876A6" w:rsidRPr="00855111">
        <w:t xml:space="preserve"> (Abeta)</w:t>
      </w:r>
      <w:r w:rsidRPr="00855111">
        <w:t xml:space="preserve"> in senile plaques, the appearance of neurofibrillary tangles (</w:t>
      </w:r>
      <w:r w:rsidR="00D70034" w:rsidRPr="00855111">
        <w:t>intracellular</w:t>
      </w:r>
      <w:r w:rsidRPr="00855111">
        <w:t>), cholinergic deficit, extensive neuronal loss and synaptic changes in the cerebral cortex</w:t>
      </w:r>
      <w:proofErr w:type="gramStart"/>
      <w:r w:rsidRPr="00855111">
        <w:t>,hippocampus</w:t>
      </w:r>
      <w:proofErr w:type="gramEnd"/>
      <w:r w:rsidRPr="00855111">
        <w:t xml:space="preserve"> and other areas associated with cognition and memory. The deposition of Abeta causes neuronal death </w:t>
      </w:r>
      <w:r w:rsidR="00D70034" w:rsidRPr="00855111">
        <w:t>by oxidative stress, inflammation and apoptosis.</w:t>
      </w:r>
      <w:r w:rsidR="00402884" w:rsidRPr="00855111">
        <w:t xml:space="preserve"> </w:t>
      </w:r>
      <w:proofErr w:type="gramStart"/>
      <w:r w:rsidR="00402884" w:rsidRPr="00855111">
        <w:t>(Parihar &amp; Hemnani, 2004).</w:t>
      </w:r>
      <w:proofErr w:type="gramEnd"/>
      <w:r w:rsidR="00402884" w:rsidRPr="00855111">
        <w:t xml:space="preserve"> </w:t>
      </w:r>
    </w:p>
    <w:p w:rsidR="00A955E5" w:rsidRPr="00855111" w:rsidRDefault="00A955E5" w:rsidP="000D5279">
      <w:pPr>
        <w:spacing w:line="480" w:lineRule="auto"/>
      </w:pPr>
      <w:r w:rsidRPr="00855111">
        <w:tab/>
        <w:t xml:space="preserve">AD has a genetic component.  </w:t>
      </w:r>
      <w:r w:rsidR="003876A6" w:rsidRPr="00855111">
        <w:t>The authors indicate f</w:t>
      </w:r>
      <w:r w:rsidRPr="00855111">
        <w:t>our genes have been identified to autosomal domi</w:t>
      </w:r>
      <w:r w:rsidR="003876A6" w:rsidRPr="00855111">
        <w:t xml:space="preserve">nant or FAD.  These include: </w:t>
      </w:r>
    </w:p>
    <w:p w:rsidR="003876A6" w:rsidRPr="00855111" w:rsidRDefault="003876A6" w:rsidP="000D5279">
      <w:pPr>
        <w:pStyle w:val="ListParagraph"/>
        <w:numPr>
          <w:ilvl w:val="0"/>
          <w:numId w:val="1"/>
        </w:numPr>
        <w:spacing w:line="480" w:lineRule="auto"/>
      </w:pPr>
      <w:r w:rsidRPr="00855111">
        <w:lastRenderedPageBreak/>
        <w:t>Amyloid precursor protein (APP)</w:t>
      </w:r>
    </w:p>
    <w:p w:rsidR="003876A6" w:rsidRPr="00855111" w:rsidRDefault="003876A6" w:rsidP="000D5279">
      <w:pPr>
        <w:pStyle w:val="ListParagraph"/>
        <w:numPr>
          <w:ilvl w:val="0"/>
          <w:numId w:val="1"/>
        </w:numPr>
        <w:spacing w:line="480" w:lineRule="auto"/>
      </w:pPr>
      <w:proofErr w:type="spellStart"/>
      <w:r w:rsidRPr="00855111">
        <w:t>Presenilin</w:t>
      </w:r>
      <w:proofErr w:type="spellEnd"/>
      <w:r w:rsidRPr="00855111">
        <w:t xml:space="preserve"> 1 (PS1)</w:t>
      </w:r>
    </w:p>
    <w:p w:rsidR="003876A6" w:rsidRPr="00855111" w:rsidRDefault="003876A6" w:rsidP="000D5279">
      <w:pPr>
        <w:pStyle w:val="ListParagraph"/>
        <w:numPr>
          <w:ilvl w:val="0"/>
          <w:numId w:val="1"/>
        </w:numPr>
        <w:spacing w:line="480" w:lineRule="auto"/>
      </w:pPr>
      <w:proofErr w:type="spellStart"/>
      <w:r w:rsidRPr="00855111">
        <w:t>Presenilin</w:t>
      </w:r>
      <w:proofErr w:type="spellEnd"/>
      <w:r w:rsidRPr="00855111">
        <w:t xml:space="preserve"> 2 (PS2)</w:t>
      </w:r>
    </w:p>
    <w:p w:rsidR="003876A6" w:rsidRPr="00855111" w:rsidRDefault="003876A6" w:rsidP="000D5279">
      <w:pPr>
        <w:pStyle w:val="ListParagraph"/>
        <w:numPr>
          <w:ilvl w:val="0"/>
          <w:numId w:val="1"/>
        </w:numPr>
        <w:spacing w:line="480" w:lineRule="auto"/>
      </w:pPr>
      <w:proofErr w:type="spellStart"/>
      <w:r w:rsidRPr="00855111">
        <w:t>Apolipoprotein</w:t>
      </w:r>
      <w:proofErr w:type="spellEnd"/>
      <w:r w:rsidRPr="00855111">
        <w:t xml:space="preserve"> E (</w:t>
      </w:r>
      <w:proofErr w:type="spellStart"/>
      <w:r w:rsidRPr="00855111">
        <w:t>ApoE</w:t>
      </w:r>
      <w:proofErr w:type="spellEnd"/>
      <w:r w:rsidRPr="00855111">
        <w:t>)</w:t>
      </w:r>
    </w:p>
    <w:p w:rsidR="00A955E5" w:rsidRPr="00855111" w:rsidRDefault="003876A6" w:rsidP="000D5279">
      <w:pPr>
        <w:spacing w:line="480" w:lineRule="auto"/>
        <w:ind w:firstLine="360"/>
      </w:pPr>
      <w:proofErr w:type="spellStart"/>
      <w:r w:rsidRPr="00855111">
        <w:t>Parihar</w:t>
      </w:r>
      <w:proofErr w:type="spellEnd"/>
      <w:r w:rsidRPr="00855111">
        <w:t xml:space="preserve"> and </w:t>
      </w:r>
      <w:proofErr w:type="spellStart"/>
      <w:r w:rsidRPr="00855111">
        <w:t>Hemnani</w:t>
      </w:r>
      <w:proofErr w:type="spellEnd"/>
      <w:r w:rsidRPr="00855111">
        <w:t xml:space="preserve"> (2004) indicate that the mutations of these genes are responsible for an increase in Abeta formation and thus deposition of this peptide in senile plaques. </w:t>
      </w:r>
      <w:r w:rsidR="00DA7E40" w:rsidRPr="00855111">
        <w:t xml:space="preserve"> These senile plaques disrupt nerve impulse transmission. The greater the numbers of plaques and neurofibrillary tangles in the cerebral cortex and hippocampus the more cognitive dysfunction is present.  </w:t>
      </w:r>
      <w:proofErr w:type="gramStart"/>
      <w:r w:rsidR="00DA7E40" w:rsidRPr="00855111">
        <w:t>(McCance</w:t>
      </w:r>
      <w:r w:rsidR="00F43674">
        <w:t>&amp;</w:t>
      </w:r>
      <w:r w:rsidR="00DA7E40" w:rsidRPr="00855111">
        <w:t xml:space="preserve"> Heuther, 2006).</w:t>
      </w:r>
      <w:proofErr w:type="gramEnd"/>
      <w:r w:rsidR="00DA7E40" w:rsidRPr="00855111">
        <w:t xml:space="preserve"> </w:t>
      </w:r>
    </w:p>
    <w:p w:rsidR="007D2C66" w:rsidRDefault="007D2C66">
      <w:pPr>
        <w:rPr>
          <w:sz w:val="24"/>
          <w:szCs w:val="24"/>
        </w:rPr>
      </w:pPr>
    </w:p>
    <w:p w:rsidR="00855111" w:rsidRDefault="00855111">
      <w:pPr>
        <w:rPr>
          <w:sz w:val="24"/>
          <w:szCs w:val="24"/>
        </w:rPr>
      </w:pPr>
    </w:p>
    <w:p w:rsidR="00855111" w:rsidRDefault="00855111">
      <w:pPr>
        <w:rPr>
          <w:sz w:val="24"/>
          <w:szCs w:val="24"/>
        </w:rPr>
      </w:pPr>
    </w:p>
    <w:p w:rsidR="00A955E5" w:rsidRPr="007D2C66" w:rsidRDefault="0016555E">
      <w:pPr>
        <w:rPr>
          <w:sz w:val="24"/>
          <w:szCs w:val="24"/>
        </w:rPr>
      </w:pPr>
      <w:r w:rsidRPr="007D2C66">
        <w:rPr>
          <w:sz w:val="24"/>
          <w:szCs w:val="24"/>
        </w:rPr>
        <w:t>The following table</w:t>
      </w:r>
      <w:r w:rsidR="00402884" w:rsidRPr="007D2C66">
        <w:rPr>
          <w:sz w:val="24"/>
          <w:szCs w:val="24"/>
        </w:rPr>
        <w:t xml:space="preserve"> describes some of the differences in the presentation of AD and Vascular dementia.</w:t>
      </w:r>
    </w:p>
    <w:p w:rsidR="00163320" w:rsidRPr="00402884" w:rsidRDefault="00163320" w:rsidP="00636334">
      <w:pPr>
        <w:jc w:val="center"/>
        <w:rPr>
          <w:sz w:val="20"/>
          <w:szCs w:val="20"/>
        </w:rPr>
      </w:pPr>
      <w:r w:rsidRPr="00402884">
        <w:rPr>
          <w:b/>
          <w:sz w:val="20"/>
          <w:szCs w:val="20"/>
        </w:rPr>
        <w:t xml:space="preserve">Differences between </w:t>
      </w:r>
      <w:r w:rsidR="004521B9" w:rsidRPr="00402884">
        <w:rPr>
          <w:b/>
          <w:sz w:val="20"/>
          <w:szCs w:val="20"/>
        </w:rPr>
        <w:t>Alzheimer</w:t>
      </w:r>
      <w:r w:rsidR="00CB5021">
        <w:rPr>
          <w:b/>
          <w:sz w:val="20"/>
          <w:szCs w:val="20"/>
        </w:rPr>
        <w:t>’</w:t>
      </w:r>
      <w:r w:rsidR="004521B9" w:rsidRPr="00402884">
        <w:rPr>
          <w:b/>
          <w:sz w:val="20"/>
          <w:szCs w:val="20"/>
        </w:rPr>
        <w:t xml:space="preserve">s and infarct </w:t>
      </w:r>
      <w:r w:rsidR="00636334" w:rsidRPr="00402884">
        <w:rPr>
          <w:b/>
          <w:sz w:val="20"/>
          <w:szCs w:val="20"/>
        </w:rPr>
        <w:t xml:space="preserve">dementia </w:t>
      </w:r>
    </w:p>
    <w:p w:rsidR="004521B9" w:rsidRPr="00402884" w:rsidRDefault="004521B9">
      <w:pPr>
        <w:rPr>
          <w:b/>
          <w:sz w:val="20"/>
          <w:szCs w:val="20"/>
        </w:rPr>
      </w:pPr>
      <w:r w:rsidRPr="00402884">
        <w:rPr>
          <w:b/>
          <w:sz w:val="20"/>
          <w:szCs w:val="20"/>
        </w:rPr>
        <w:tab/>
      </w:r>
      <w:r w:rsidRPr="00402884">
        <w:rPr>
          <w:b/>
          <w:sz w:val="20"/>
          <w:szCs w:val="20"/>
        </w:rPr>
        <w:tab/>
      </w:r>
      <w:r w:rsidRPr="00402884">
        <w:rPr>
          <w:b/>
          <w:sz w:val="20"/>
          <w:szCs w:val="20"/>
        </w:rPr>
        <w:tab/>
      </w:r>
      <w:proofErr w:type="gramStart"/>
      <w:r w:rsidRPr="00402884">
        <w:rPr>
          <w:b/>
          <w:sz w:val="20"/>
          <w:szCs w:val="20"/>
        </w:rPr>
        <w:t>Alzheimer’s Disease</w:t>
      </w:r>
      <w:proofErr w:type="gramEnd"/>
      <w:r w:rsidRPr="00402884">
        <w:rPr>
          <w:b/>
          <w:sz w:val="20"/>
          <w:szCs w:val="20"/>
        </w:rPr>
        <w:tab/>
      </w:r>
      <w:r w:rsidRPr="00402884">
        <w:rPr>
          <w:b/>
          <w:sz w:val="20"/>
          <w:szCs w:val="20"/>
        </w:rPr>
        <w:tab/>
      </w:r>
      <w:r w:rsidRPr="00402884">
        <w:rPr>
          <w:b/>
          <w:sz w:val="20"/>
          <w:szCs w:val="20"/>
        </w:rPr>
        <w:tab/>
      </w:r>
      <w:r w:rsidRPr="00402884">
        <w:rPr>
          <w:b/>
          <w:sz w:val="20"/>
          <w:szCs w:val="20"/>
        </w:rPr>
        <w:tab/>
      </w:r>
      <w:r w:rsidR="003837B6" w:rsidRPr="00402884">
        <w:rPr>
          <w:b/>
          <w:sz w:val="20"/>
          <w:szCs w:val="20"/>
        </w:rPr>
        <w:t>Vascular/</w:t>
      </w:r>
      <w:r w:rsidR="00AE5036">
        <w:rPr>
          <w:b/>
          <w:sz w:val="20"/>
          <w:szCs w:val="20"/>
        </w:rPr>
        <w:t>Infarct De</w:t>
      </w:r>
      <w:r w:rsidRPr="00402884">
        <w:rPr>
          <w:b/>
          <w:sz w:val="20"/>
          <w:szCs w:val="20"/>
        </w:rPr>
        <w:t>mentia</w:t>
      </w:r>
    </w:p>
    <w:tbl>
      <w:tblPr>
        <w:tblStyle w:val="TableGrid"/>
        <w:tblW w:w="0" w:type="auto"/>
        <w:tblLook w:val="04A0"/>
      </w:tblPr>
      <w:tblGrid>
        <w:gridCol w:w="1951"/>
        <w:gridCol w:w="3686"/>
        <w:gridCol w:w="3939"/>
      </w:tblGrid>
      <w:tr w:rsidR="004521B9" w:rsidRPr="00402884" w:rsidTr="004521B9">
        <w:tc>
          <w:tcPr>
            <w:tcW w:w="1951" w:type="dxa"/>
          </w:tcPr>
          <w:p w:rsidR="004521B9" w:rsidRPr="00402884" w:rsidRDefault="004521B9">
            <w:pPr>
              <w:rPr>
                <w:b/>
                <w:sz w:val="20"/>
                <w:szCs w:val="20"/>
              </w:rPr>
            </w:pPr>
            <w:proofErr w:type="spellStart"/>
            <w:r w:rsidRPr="00402884">
              <w:rPr>
                <w:b/>
                <w:sz w:val="20"/>
                <w:szCs w:val="20"/>
              </w:rPr>
              <w:t>Etiology</w:t>
            </w:r>
            <w:proofErr w:type="spellEnd"/>
          </w:p>
        </w:tc>
        <w:tc>
          <w:tcPr>
            <w:tcW w:w="3686" w:type="dxa"/>
          </w:tcPr>
          <w:p w:rsidR="004521B9" w:rsidRPr="00402884" w:rsidRDefault="004521B9">
            <w:pPr>
              <w:rPr>
                <w:sz w:val="20"/>
                <w:szCs w:val="20"/>
              </w:rPr>
            </w:pPr>
            <w:r w:rsidRPr="00402884">
              <w:rPr>
                <w:sz w:val="20"/>
                <w:szCs w:val="20"/>
              </w:rPr>
              <w:t>Can be familial, linked to chromosomes 14,19,21</w:t>
            </w:r>
          </w:p>
        </w:tc>
        <w:tc>
          <w:tcPr>
            <w:tcW w:w="3939" w:type="dxa"/>
          </w:tcPr>
          <w:p w:rsidR="004521B9" w:rsidRPr="00402884" w:rsidRDefault="004521B9">
            <w:pPr>
              <w:rPr>
                <w:sz w:val="20"/>
                <w:szCs w:val="20"/>
              </w:rPr>
            </w:pPr>
            <w:r w:rsidRPr="00402884">
              <w:rPr>
                <w:sz w:val="20"/>
                <w:szCs w:val="20"/>
              </w:rPr>
              <w:t xml:space="preserve">Related to </w:t>
            </w:r>
            <w:r w:rsidR="00886855" w:rsidRPr="00402884">
              <w:rPr>
                <w:sz w:val="20"/>
                <w:szCs w:val="20"/>
              </w:rPr>
              <w:t>Cardiovascular</w:t>
            </w:r>
            <w:r w:rsidRPr="00402884">
              <w:rPr>
                <w:sz w:val="20"/>
                <w:szCs w:val="20"/>
              </w:rPr>
              <w:t>, Cerebrovascular disease and hypertension</w:t>
            </w:r>
            <w:r w:rsidR="005F2688" w:rsidRPr="00402884">
              <w:rPr>
                <w:sz w:val="20"/>
                <w:szCs w:val="20"/>
              </w:rPr>
              <w:t xml:space="preserve">.  </w:t>
            </w:r>
          </w:p>
        </w:tc>
      </w:tr>
      <w:tr w:rsidR="004521B9" w:rsidRPr="00402884" w:rsidTr="004521B9">
        <w:tc>
          <w:tcPr>
            <w:tcW w:w="1951" w:type="dxa"/>
          </w:tcPr>
          <w:p w:rsidR="004521B9" w:rsidRPr="00402884" w:rsidRDefault="004521B9">
            <w:pPr>
              <w:rPr>
                <w:b/>
                <w:sz w:val="20"/>
                <w:szCs w:val="20"/>
              </w:rPr>
            </w:pPr>
            <w:r w:rsidRPr="00402884">
              <w:rPr>
                <w:b/>
                <w:sz w:val="20"/>
                <w:szCs w:val="20"/>
              </w:rPr>
              <w:t>Risk Factors</w:t>
            </w:r>
          </w:p>
        </w:tc>
        <w:tc>
          <w:tcPr>
            <w:tcW w:w="3686" w:type="dxa"/>
          </w:tcPr>
          <w:p w:rsidR="004521B9" w:rsidRPr="00402884" w:rsidRDefault="004521B9">
            <w:pPr>
              <w:rPr>
                <w:sz w:val="20"/>
                <w:szCs w:val="20"/>
              </w:rPr>
            </w:pPr>
            <w:r w:rsidRPr="00402884">
              <w:rPr>
                <w:sz w:val="20"/>
                <w:szCs w:val="20"/>
              </w:rPr>
              <w:t>Advanced age, genetic factor</w:t>
            </w:r>
          </w:p>
        </w:tc>
        <w:tc>
          <w:tcPr>
            <w:tcW w:w="3939" w:type="dxa"/>
          </w:tcPr>
          <w:p w:rsidR="004521B9" w:rsidRPr="00402884" w:rsidRDefault="00886855">
            <w:pPr>
              <w:rPr>
                <w:sz w:val="20"/>
                <w:szCs w:val="20"/>
              </w:rPr>
            </w:pPr>
            <w:r w:rsidRPr="00402884">
              <w:rPr>
                <w:sz w:val="20"/>
                <w:szCs w:val="20"/>
              </w:rPr>
              <w:t>Pre-existing</w:t>
            </w:r>
            <w:r w:rsidR="004521B9" w:rsidRPr="00402884">
              <w:rPr>
                <w:sz w:val="20"/>
                <w:szCs w:val="20"/>
              </w:rPr>
              <w:t xml:space="preserve"> CV disease</w:t>
            </w:r>
          </w:p>
        </w:tc>
      </w:tr>
      <w:tr w:rsidR="004521B9" w:rsidRPr="00402884" w:rsidTr="004521B9">
        <w:tc>
          <w:tcPr>
            <w:tcW w:w="1951" w:type="dxa"/>
          </w:tcPr>
          <w:p w:rsidR="004521B9" w:rsidRPr="00402884" w:rsidRDefault="004521B9">
            <w:pPr>
              <w:rPr>
                <w:b/>
                <w:sz w:val="20"/>
                <w:szCs w:val="20"/>
              </w:rPr>
            </w:pPr>
            <w:r w:rsidRPr="00402884">
              <w:rPr>
                <w:b/>
                <w:sz w:val="20"/>
                <w:szCs w:val="20"/>
              </w:rPr>
              <w:t>Occurrence</w:t>
            </w:r>
          </w:p>
        </w:tc>
        <w:tc>
          <w:tcPr>
            <w:tcW w:w="3686" w:type="dxa"/>
          </w:tcPr>
          <w:p w:rsidR="004521B9" w:rsidRPr="00402884" w:rsidRDefault="004521B9">
            <w:pPr>
              <w:rPr>
                <w:sz w:val="20"/>
                <w:szCs w:val="20"/>
              </w:rPr>
            </w:pPr>
            <w:r w:rsidRPr="00402884">
              <w:rPr>
                <w:sz w:val="20"/>
                <w:szCs w:val="20"/>
              </w:rPr>
              <w:t>Makes up 50-60% of all dementias</w:t>
            </w:r>
          </w:p>
        </w:tc>
        <w:tc>
          <w:tcPr>
            <w:tcW w:w="3939" w:type="dxa"/>
          </w:tcPr>
          <w:p w:rsidR="004521B9" w:rsidRPr="00402884" w:rsidRDefault="00636334">
            <w:pPr>
              <w:rPr>
                <w:sz w:val="20"/>
                <w:szCs w:val="20"/>
              </w:rPr>
            </w:pPr>
            <w:r w:rsidRPr="00402884">
              <w:rPr>
                <w:sz w:val="20"/>
                <w:szCs w:val="20"/>
              </w:rPr>
              <w:t xml:space="preserve">Makes up 20% of all </w:t>
            </w:r>
            <w:r w:rsidR="00886855" w:rsidRPr="00402884">
              <w:rPr>
                <w:sz w:val="20"/>
                <w:szCs w:val="20"/>
              </w:rPr>
              <w:t>dementias</w:t>
            </w:r>
            <w:r w:rsidRPr="00402884">
              <w:rPr>
                <w:sz w:val="20"/>
                <w:szCs w:val="20"/>
              </w:rPr>
              <w:t xml:space="preserve"> (the other 20% are related to delirium associated with hospitalization)</w:t>
            </w:r>
          </w:p>
        </w:tc>
      </w:tr>
      <w:tr w:rsidR="004521B9" w:rsidRPr="00402884" w:rsidTr="004521B9">
        <w:tc>
          <w:tcPr>
            <w:tcW w:w="1951" w:type="dxa"/>
          </w:tcPr>
          <w:p w:rsidR="004521B9" w:rsidRPr="00402884" w:rsidRDefault="004521B9">
            <w:pPr>
              <w:rPr>
                <w:b/>
                <w:sz w:val="20"/>
                <w:szCs w:val="20"/>
              </w:rPr>
            </w:pPr>
            <w:r w:rsidRPr="00402884">
              <w:rPr>
                <w:b/>
                <w:sz w:val="20"/>
                <w:szCs w:val="20"/>
              </w:rPr>
              <w:t>Onset</w:t>
            </w:r>
          </w:p>
        </w:tc>
        <w:tc>
          <w:tcPr>
            <w:tcW w:w="3686" w:type="dxa"/>
          </w:tcPr>
          <w:p w:rsidR="004521B9" w:rsidRPr="00402884" w:rsidRDefault="00636334">
            <w:pPr>
              <w:rPr>
                <w:sz w:val="20"/>
                <w:szCs w:val="20"/>
              </w:rPr>
            </w:pPr>
            <w:r w:rsidRPr="00402884">
              <w:rPr>
                <w:sz w:val="20"/>
                <w:szCs w:val="20"/>
              </w:rPr>
              <w:t>Slow</w:t>
            </w:r>
          </w:p>
        </w:tc>
        <w:tc>
          <w:tcPr>
            <w:tcW w:w="3939" w:type="dxa"/>
          </w:tcPr>
          <w:p w:rsidR="004521B9" w:rsidRPr="00402884" w:rsidRDefault="00636334">
            <w:pPr>
              <w:rPr>
                <w:sz w:val="20"/>
                <w:szCs w:val="20"/>
              </w:rPr>
            </w:pPr>
            <w:r w:rsidRPr="00402884">
              <w:rPr>
                <w:sz w:val="20"/>
                <w:szCs w:val="20"/>
              </w:rPr>
              <w:t>Often abrupt onset following a stroke or TIA</w:t>
            </w:r>
          </w:p>
        </w:tc>
      </w:tr>
      <w:tr w:rsidR="004521B9" w:rsidRPr="00402884" w:rsidTr="004521B9">
        <w:tc>
          <w:tcPr>
            <w:tcW w:w="1951" w:type="dxa"/>
          </w:tcPr>
          <w:p w:rsidR="004521B9" w:rsidRPr="00402884" w:rsidRDefault="004521B9">
            <w:pPr>
              <w:rPr>
                <w:b/>
                <w:sz w:val="20"/>
                <w:szCs w:val="20"/>
              </w:rPr>
            </w:pPr>
            <w:r w:rsidRPr="00402884">
              <w:rPr>
                <w:b/>
                <w:sz w:val="20"/>
                <w:szCs w:val="20"/>
              </w:rPr>
              <w:t>Age of onset</w:t>
            </w:r>
          </w:p>
        </w:tc>
        <w:tc>
          <w:tcPr>
            <w:tcW w:w="3686" w:type="dxa"/>
          </w:tcPr>
          <w:p w:rsidR="004521B9" w:rsidRPr="00402884" w:rsidRDefault="00636334">
            <w:pPr>
              <w:rPr>
                <w:sz w:val="20"/>
                <w:szCs w:val="20"/>
              </w:rPr>
            </w:pPr>
            <w:r w:rsidRPr="00402884">
              <w:rPr>
                <w:sz w:val="20"/>
                <w:szCs w:val="20"/>
              </w:rPr>
              <w:t>Early onset-  30yrs-65yrs</w:t>
            </w:r>
          </w:p>
          <w:p w:rsidR="00636334" w:rsidRPr="00402884" w:rsidRDefault="00636334">
            <w:pPr>
              <w:rPr>
                <w:sz w:val="20"/>
                <w:szCs w:val="20"/>
              </w:rPr>
            </w:pPr>
            <w:r w:rsidRPr="00402884">
              <w:rPr>
                <w:sz w:val="20"/>
                <w:szCs w:val="20"/>
              </w:rPr>
              <w:t>Late onset- 65+</w:t>
            </w:r>
          </w:p>
          <w:p w:rsidR="00636334" w:rsidRPr="00402884" w:rsidRDefault="00636334">
            <w:pPr>
              <w:rPr>
                <w:sz w:val="20"/>
                <w:szCs w:val="20"/>
              </w:rPr>
            </w:pPr>
            <w:r w:rsidRPr="00402884">
              <w:rPr>
                <w:sz w:val="20"/>
                <w:szCs w:val="20"/>
              </w:rPr>
              <w:t>Most commonly 85+</w:t>
            </w:r>
          </w:p>
        </w:tc>
        <w:tc>
          <w:tcPr>
            <w:tcW w:w="3939" w:type="dxa"/>
          </w:tcPr>
          <w:p w:rsidR="004521B9" w:rsidRPr="00402884" w:rsidRDefault="00636334">
            <w:pPr>
              <w:rPr>
                <w:sz w:val="20"/>
                <w:szCs w:val="20"/>
              </w:rPr>
            </w:pPr>
            <w:r w:rsidRPr="00402884">
              <w:rPr>
                <w:sz w:val="20"/>
                <w:szCs w:val="20"/>
              </w:rPr>
              <w:t>Most commonly 50-70</w:t>
            </w:r>
            <w:r w:rsidR="00AE5036">
              <w:rPr>
                <w:sz w:val="20"/>
                <w:szCs w:val="20"/>
              </w:rPr>
              <w:t xml:space="preserve"> yrs.</w:t>
            </w:r>
          </w:p>
        </w:tc>
      </w:tr>
      <w:tr w:rsidR="004521B9" w:rsidRPr="00402884" w:rsidTr="004521B9">
        <w:tc>
          <w:tcPr>
            <w:tcW w:w="1951" w:type="dxa"/>
          </w:tcPr>
          <w:p w:rsidR="004521B9" w:rsidRPr="00402884" w:rsidRDefault="004521B9">
            <w:pPr>
              <w:rPr>
                <w:b/>
                <w:sz w:val="20"/>
                <w:szCs w:val="20"/>
              </w:rPr>
            </w:pPr>
            <w:r w:rsidRPr="00402884">
              <w:rPr>
                <w:b/>
                <w:sz w:val="20"/>
                <w:szCs w:val="20"/>
              </w:rPr>
              <w:t>Gender</w:t>
            </w:r>
          </w:p>
        </w:tc>
        <w:tc>
          <w:tcPr>
            <w:tcW w:w="3686" w:type="dxa"/>
          </w:tcPr>
          <w:p w:rsidR="004521B9" w:rsidRPr="00402884" w:rsidRDefault="00636334">
            <w:pPr>
              <w:rPr>
                <w:sz w:val="20"/>
                <w:szCs w:val="20"/>
              </w:rPr>
            </w:pPr>
            <w:r w:rsidRPr="00402884">
              <w:rPr>
                <w:sz w:val="20"/>
                <w:szCs w:val="20"/>
              </w:rPr>
              <w:t>Affects males and females equally</w:t>
            </w:r>
          </w:p>
        </w:tc>
        <w:tc>
          <w:tcPr>
            <w:tcW w:w="3939" w:type="dxa"/>
          </w:tcPr>
          <w:p w:rsidR="004521B9" w:rsidRPr="00402884" w:rsidRDefault="00636334">
            <w:pPr>
              <w:rPr>
                <w:sz w:val="20"/>
                <w:szCs w:val="20"/>
              </w:rPr>
            </w:pPr>
            <w:r w:rsidRPr="00402884">
              <w:rPr>
                <w:sz w:val="20"/>
                <w:szCs w:val="20"/>
              </w:rPr>
              <w:t>Affects predominantly males</w:t>
            </w:r>
          </w:p>
        </w:tc>
      </w:tr>
      <w:tr w:rsidR="004521B9" w:rsidRPr="00402884" w:rsidTr="004521B9">
        <w:tc>
          <w:tcPr>
            <w:tcW w:w="1951" w:type="dxa"/>
          </w:tcPr>
          <w:p w:rsidR="004521B9" w:rsidRPr="00402884" w:rsidRDefault="004521B9">
            <w:pPr>
              <w:rPr>
                <w:b/>
                <w:sz w:val="20"/>
                <w:szCs w:val="20"/>
              </w:rPr>
            </w:pPr>
            <w:r w:rsidRPr="00402884">
              <w:rPr>
                <w:b/>
                <w:sz w:val="20"/>
                <w:szCs w:val="20"/>
              </w:rPr>
              <w:t>Course</w:t>
            </w:r>
          </w:p>
        </w:tc>
        <w:tc>
          <w:tcPr>
            <w:tcW w:w="3686" w:type="dxa"/>
          </w:tcPr>
          <w:p w:rsidR="004521B9" w:rsidRPr="00402884" w:rsidRDefault="00636334">
            <w:pPr>
              <w:rPr>
                <w:sz w:val="20"/>
                <w:szCs w:val="20"/>
              </w:rPr>
            </w:pPr>
            <w:r w:rsidRPr="00402884">
              <w:rPr>
                <w:sz w:val="20"/>
                <w:szCs w:val="20"/>
              </w:rPr>
              <w:t>Chronic, irreversible, regularly progressive</w:t>
            </w:r>
          </w:p>
        </w:tc>
        <w:tc>
          <w:tcPr>
            <w:tcW w:w="3939" w:type="dxa"/>
          </w:tcPr>
          <w:p w:rsidR="004521B9" w:rsidRPr="00402884" w:rsidRDefault="00636334">
            <w:pPr>
              <w:rPr>
                <w:sz w:val="20"/>
                <w:szCs w:val="20"/>
              </w:rPr>
            </w:pPr>
            <w:r w:rsidRPr="00402884">
              <w:rPr>
                <w:sz w:val="20"/>
                <w:szCs w:val="20"/>
              </w:rPr>
              <w:t>Chronic, irreversible, fluctuating, stepwise progression</w:t>
            </w:r>
          </w:p>
        </w:tc>
      </w:tr>
      <w:tr w:rsidR="004521B9" w:rsidRPr="00402884" w:rsidTr="004521B9">
        <w:tc>
          <w:tcPr>
            <w:tcW w:w="1951" w:type="dxa"/>
          </w:tcPr>
          <w:p w:rsidR="004521B9" w:rsidRPr="00402884" w:rsidRDefault="004521B9">
            <w:pPr>
              <w:rPr>
                <w:b/>
                <w:sz w:val="20"/>
                <w:szCs w:val="20"/>
              </w:rPr>
            </w:pPr>
            <w:r w:rsidRPr="00402884">
              <w:rPr>
                <w:b/>
                <w:sz w:val="20"/>
                <w:szCs w:val="20"/>
              </w:rPr>
              <w:t>Duration</w:t>
            </w:r>
          </w:p>
        </w:tc>
        <w:tc>
          <w:tcPr>
            <w:tcW w:w="3686" w:type="dxa"/>
          </w:tcPr>
          <w:p w:rsidR="004521B9" w:rsidRPr="00402884" w:rsidRDefault="00636334">
            <w:pPr>
              <w:rPr>
                <w:sz w:val="20"/>
                <w:szCs w:val="20"/>
              </w:rPr>
            </w:pPr>
            <w:r w:rsidRPr="00402884">
              <w:rPr>
                <w:sz w:val="20"/>
                <w:szCs w:val="20"/>
              </w:rPr>
              <w:t>2-20 years</w:t>
            </w:r>
          </w:p>
        </w:tc>
        <w:tc>
          <w:tcPr>
            <w:tcW w:w="3939" w:type="dxa"/>
          </w:tcPr>
          <w:p w:rsidR="004521B9" w:rsidRPr="00402884" w:rsidRDefault="00636334">
            <w:pPr>
              <w:rPr>
                <w:sz w:val="20"/>
                <w:szCs w:val="20"/>
              </w:rPr>
            </w:pPr>
            <w:r w:rsidRPr="00402884">
              <w:rPr>
                <w:sz w:val="20"/>
                <w:szCs w:val="20"/>
              </w:rPr>
              <w:t>Variable</w:t>
            </w:r>
            <w:r w:rsidR="00564E45" w:rsidRPr="00402884">
              <w:rPr>
                <w:sz w:val="20"/>
                <w:szCs w:val="20"/>
              </w:rPr>
              <w:t>, may be 5-10 years</w:t>
            </w:r>
          </w:p>
        </w:tc>
      </w:tr>
      <w:tr w:rsidR="004521B9" w:rsidRPr="00402884" w:rsidTr="004521B9">
        <w:tc>
          <w:tcPr>
            <w:tcW w:w="1951" w:type="dxa"/>
          </w:tcPr>
          <w:p w:rsidR="004521B9" w:rsidRPr="00402884" w:rsidRDefault="004521B9">
            <w:pPr>
              <w:rPr>
                <w:b/>
                <w:sz w:val="20"/>
                <w:szCs w:val="20"/>
              </w:rPr>
            </w:pPr>
            <w:r w:rsidRPr="00402884">
              <w:rPr>
                <w:b/>
                <w:sz w:val="20"/>
                <w:szCs w:val="20"/>
              </w:rPr>
              <w:t>Symptom Progress</w:t>
            </w:r>
          </w:p>
        </w:tc>
        <w:tc>
          <w:tcPr>
            <w:tcW w:w="3686" w:type="dxa"/>
          </w:tcPr>
          <w:p w:rsidR="004521B9" w:rsidRPr="00402884" w:rsidRDefault="00636334">
            <w:pPr>
              <w:rPr>
                <w:sz w:val="20"/>
                <w:szCs w:val="20"/>
              </w:rPr>
            </w:pPr>
            <w:r w:rsidRPr="00402884">
              <w:rPr>
                <w:sz w:val="20"/>
                <w:szCs w:val="20"/>
              </w:rPr>
              <w:t xml:space="preserve">Onset is insidious.  In early form is mild and subtle but intensifies with progression </w:t>
            </w:r>
            <w:r w:rsidRPr="00402884">
              <w:rPr>
                <w:sz w:val="20"/>
                <w:szCs w:val="20"/>
              </w:rPr>
              <w:lastRenderedPageBreak/>
              <w:t>to death r/t causes such as malnutrition and infection</w:t>
            </w:r>
          </w:p>
        </w:tc>
        <w:tc>
          <w:tcPr>
            <w:tcW w:w="3939" w:type="dxa"/>
          </w:tcPr>
          <w:p w:rsidR="004521B9" w:rsidRPr="00402884" w:rsidRDefault="00636334">
            <w:pPr>
              <w:rPr>
                <w:sz w:val="20"/>
                <w:szCs w:val="20"/>
              </w:rPr>
            </w:pPr>
            <w:r w:rsidRPr="00402884">
              <w:rPr>
                <w:sz w:val="20"/>
                <w:szCs w:val="20"/>
              </w:rPr>
              <w:lastRenderedPageBreak/>
              <w:t xml:space="preserve">Depends on location of infarct and success of treatment.  Death more likely attributed to </w:t>
            </w:r>
            <w:r w:rsidRPr="00402884">
              <w:rPr>
                <w:sz w:val="20"/>
                <w:szCs w:val="20"/>
              </w:rPr>
              <w:lastRenderedPageBreak/>
              <w:t>CV disease.</w:t>
            </w:r>
          </w:p>
        </w:tc>
      </w:tr>
      <w:tr w:rsidR="004521B9" w:rsidRPr="00402884" w:rsidTr="004521B9">
        <w:tc>
          <w:tcPr>
            <w:tcW w:w="1951" w:type="dxa"/>
          </w:tcPr>
          <w:p w:rsidR="004521B9" w:rsidRPr="00402884" w:rsidRDefault="004521B9">
            <w:pPr>
              <w:rPr>
                <w:b/>
                <w:sz w:val="20"/>
                <w:szCs w:val="20"/>
              </w:rPr>
            </w:pPr>
            <w:r w:rsidRPr="00402884">
              <w:rPr>
                <w:b/>
                <w:sz w:val="20"/>
                <w:szCs w:val="20"/>
              </w:rPr>
              <w:lastRenderedPageBreak/>
              <w:t>Mood</w:t>
            </w:r>
          </w:p>
        </w:tc>
        <w:tc>
          <w:tcPr>
            <w:tcW w:w="3686" w:type="dxa"/>
          </w:tcPr>
          <w:p w:rsidR="004521B9" w:rsidRPr="00402884" w:rsidRDefault="00636334">
            <w:pPr>
              <w:rPr>
                <w:sz w:val="20"/>
                <w:szCs w:val="20"/>
              </w:rPr>
            </w:pPr>
            <w:r w:rsidRPr="00402884">
              <w:rPr>
                <w:sz w:val="20"/>
                <w:szCs w:val="20"/>
              </w:rPr>
              <w:t>Early depression</w:t>
            </w:r>
          </w:p>
        </w:tc>
        <w:tc>
          <w:tcPr>
            <w:tcW w:w="3939" w:type="dxa"/>
          </w:tcPr>
          <w:p w:rsidR="004521B9" w:rsidRPr="00402884" w:rsidRDefault="00636334">
            <w:pPr>
              <w:rPr>
                <w:sz w:val="20"/>
                <w:szCs w:val="20"/>
              </w:rPr>
            </w:pPr>
            <w:r w:rsidRPr="00402884">
              <w:rPr>
                <w:sz w:val="20"/>
                <w:szCs w:val="20"/>
              </w:rPr>
              <w:t>Labile mood swings</w:t>
            </w:r>
            <w:r w:rsidR="00AC7EA5">
              <w:rPr>
                <w:sz w:val="20"/>
                <w:szCs w:val="20"/>
              </w:rPr>
              <w:t xml:space="preserve"> and inappropriate emotions</w:t>
            </w:r>
          </w:p>
        </w:tc>
      </w:tr>
      <w:tr w:rsidR="004521B9" w:rsidRPr="00402884" w:rsidTr="004521B9">
        <w:tc>
          <w:tcPr>
            <w:tcW w:w="1951" w:type="dxa"/>
          </w:tcPr>
          <w:p w:rsidR="004521B9" w:rsidRPr="00402884" w:rsidRDefault="004521B9">
            <w:pPr>
              <w:rPr>
                <w:b/>
                <w:sz w:val="20"/>
                <w:szCs w:val="20"/>
              </w:rPr>
            </w:pPr>
            <w:r w:rsidRPr="00402884">
              <w:rPr>
                <w:b/>
                <w:sz w:val="20"/>
                <w:szCs w:val="20"/>
              </w:rPr>
              <w:t>Speech/Language</w:t>
            </w:r>
          </w:p>
        </w:tc>
        <w:tc>
          <w:tcPr>
            <w:tcW w:w="3686" w:type="dxa"/>
          </w:tcPr>
          <w:p w:rsidR="004521B9" w:rsidRPr="00402884" w:rsidRDefault="00636334">
            <w:pPr>
              <w:rPr>
                <w:sz w:val="20"/>
                <w:szCs w:val="20"/>
              </w:rPr>
            </w:pPr>
            <w:r w:rsidRPr="00402884">
              <w:rPr>
                <w:sz w:val="20"/>
                <w:szCs w:val="20"/>
              </w:rPr>
              <w:t>Speech remains until late in the disease.  Early in the disease pt may not be able to name objects (</w:t>
            </w:r>
            <w:proofErr w:type="spellStart"/>
            <w:r w:rsidRPr="00402884">
              <w:rPr>
                <w:sz w:val="20"/>
                <w:szCs w:val="20"/>
              </w:rPr>
              <w:t>anomia</w:t>
            </w:r>
            <w:proofErr w:type="spellEnd"/>
            <w:r w:rsidRPr="00402884">
              <w:rPr>
                <w:sz w:val="20"/>
                <w:szCs w:val="20"/>
              </w:rPr>
              <w:t xml:space="preserve">).  Deficits progress until speech lacks meaning.  Pt may repeat words and sounds </w:t>
            </w:r>
            <w:r w:rsidR="00886855" w:rsidRPr="00402884">
              <w:rPr>
                <w:sz w:val="20"/>
                <w:szCs w:val="20"/>
              </w:rPr>
              <w:t>or may not speak at all.</w:t>
            </w:r>
          </w:p>
        </w:tc>
        <w:tc>
          <w:tcPr>
            <w:tcW w:w="3939" w:type="dxa"/>
          </w:tcPr>
          <w:p w:rsidR="004521B9" w:rsidRPr="00402884" w:rsidRDefault="00636334">
            <w:pPr>
              <w:rPr>
                <w:sz w:val="20"/>
                <w:szCs w:val="20"/>
              </w:rPr>
            </w:pPr>
            <w:r w:rsidRPr="00402884">
              <w:rPr>
                <w:sz w:val="20"/>
                <w:szCs w:val="20"/>
              </w:rPr>
              <w:t>May have speech/language deficits depending on location of infarct</w:t>
            </w:r>
          </w:p>
        </w:tc>
      </w:tr>
      <w:tr w:rsidR="004521B9" w:rsidRPr="00402884" w:rsidTr="004521B9">
        <w:tc>
          <w:tcPr>
            <w:tcW w:w="1951" w:type="dxa"/>
          </w:tcPr>
          <w:p w:rsidR="004521B9" w:rsidRPr="00402884" w:rsidRDefault="004521B9">
            <w:pPr>
              <w:rPr>
                <w:b/>
                <w:sz w:val="20"/>
                <w:szCs w:val="20"/>
              </w:rPr>
            </w:pPr>
            <w:r w:rsidRPr="00402884">
              <w:rPr>
                <w:b/>
                <w:sz w:val="20"/>
                <w:szCs w:val="20"/>
              </w:rPr>
              <w:t>Physical signs</w:t>
            </w:r>
          </w:p>
        </w:tc>
        <w:tc>
          <w:tcPr>
            <w:tcW w:w="3686" w:type="dxa"/>
          </w:tcPr>
          <w:p w:rsidR="004521B9" w:rsidRPr="00402884" w:rsidRDefault="00886855">
            <w:pPr>
              <w:rPr>
                <w:sz w:val="20"/>
                <w:szCs w:val="20"/>
              </w:rPr>
            </w:pPr>
            <w:r w:rsidRPr="00402884">
              <w:rPr>
                <w:sz w:val="20"/>
                <w:szCs w:val="20"/>
              </w:rPr>
              <w:t>Early in disease there are no motor deficits but as it progresses it becomes difficult to perform purposeful movement until there is loss of all voluntary movement.</w:t>
            </w:r>
          </w:p>
        </w:tc>
        <w:tc>
          <w:tcPr>
            <w:tcW w:w="3939" w:type="dxa"/>
          </w:tcPr>
          <w:p w:rsidR="004521B9" w:rsidRPr="00402884" w:rsidRDefault="00886855">
            <w:pPr>
              <w:rPr>
                <w:sz w:val="20"/>
                <w:szCs w:val="20"/>
              </w:rPr>
            </w:pPr>
            <w:r w:rsidRPr="00402884">
              <w:rPr>
                <w:sz w:val="20"/>
                <w:szCs w:val="20"/>
              </w:rPr>
              <w:t>Commonly exhibits motor deficits</w:t>
            </w:r>
            <w:r w:rsidR="00564E45" w:rsidRPr="00402884">
              <w:rPr>
                <w:sz w:val="20"/>
                <w:szCs w:val="20"/>
              </w:rPr>
              <w:t>.</w:t>
            </w:r>
          </w:p>
          <w:p w:rsidR="00564E45" w:rsidRPr="00402884" w:rsidRDefault="00564E45">
            <w:pPr>
              <w:rPr>
                <w:sz w:val="20"/>
                <w:szCs w:val="20"/>
              </w:rPr>
            </w:pPr>
            <w:r w:rsidRPr="00402884">
              <w:rPr>
                <w:sz w:val="20"/>
                <w:szCs w:val="20"/>
              </w:rPr>
              <w:t>Walking with rapid shuffling steps</w:t>
            </w:r>
            <w:r w:rsidR="003C1D0B" w:rsidRPr="00402884">
              <w:rPr>
                <w:sz w:val="20"/>
                <w:szCs w:val="20"/>
              </w:rPr>
              <w:t>, wandering, getting lost in familiar place</w:t>
            </w:r>
          </w:p>
        </w:tc>
      </w:tr>
      <w:tr w:rsidR="004521B9" w:rsidRPr="00402884" w:rsidTr="004521B9">
        <w:tc>
          <w:tcPr>
            <w:tcW w:w="1951" w:type="dxa"/>
          </w:tcPr>
          <w:p w:rsidR="004521B9" w:rsidRPr="00402884" w:rsidRDefault="004521B9">
            <w:pPr>
              <w:rPr>
                <w:b/>
                <w:sz w:val="20"/>
                <w:szCs w:val="20"/>
              </w:rPr>
            </w:pPr>
            <w:r w:rsidRPr="00402884">
              <w:rPr>
                <w:b/>
                <w:sz w:val="20"/>
                <w:szCs w:val="20"/>
              </w:rPr>
              <w:t>Orientation</w:t>
            </w:r>
          </w:p>
        </w:tc>
        <w:tc>
          <w:tcPr>
            <w:tcW w:w="3686" w:type="dxa"/>
          </w:tcPr>
          <w:p w:rsidR="004521B9" w:rsidRPr="00402884" w:rsidRDefault="00886855">
            <w:pPr>
              <w:rPr>
                <w:sz w:val="20"/>
                <w:szCs w:val="20"/>
              </w:rPr>
            </w:pPr>
            <w:r w:rsidRPr="00402884">
              <w:rPr>
                <w:sz w:val="20"/>
                <w:szCs w:val="20"/>
              </w:rPr>
              <w:t xml:space="preserve">May exhibit Topographic disorientation (gets lost in a familiar </w:t>
            </w:r>
            <w:proofErr w:type="gramStart"/>
            <w:r w:rsidRPr="00402884">
              <w:rPr>
                <w:sz w:val="20"/>
                <w:szCs w:val="20"/>
              </w:rPr>
              <w:t>place.</w:t>
            </w:r>
            <w:proofErr w:type="gramEnd"/>
            <w:r w:rsidRPr="00402884">
              <w:rPr>
                <w:sz w:val="20"/>
                <w:szCs w:val="20"/>
              </w:rPr>
              <w:t xml:space="preserve"> Develops visual and spatial disorientation.  With disease progression becomes disoriented to person, place, time</w:t>
            </w:r>
          </w:p>
        </w:tc>
        <w:tc>
          <w:tcPr>
            <w:tcW w:w="3939" w:type="dxa"/>
          </w:tcPr>
          <w:p w:rsidR="004521B9" w:rsidRPr="00402884" w:rsidRDefault="00DA7E40">
            <w:pPr>
              <w:rPr>
                <w:sz w:val="20"/>
                <w:szCs w:val="20"/>
              </w:rPr>
            </w:pPr>
            <w:r w:rsidRPr="00402884">
              <w:rPr>
                <w:sz w:val="20"/>
                <w:szCs w:val="20"/>
              </w:rPr>
              <w:t>Same</w:t>
            </w:r>
          </w:p>
        </w:tc>
      </w:tr>
      <w:tr w:rsidR="004521B9" w:rsidRPr="00402884" w:rsidTr="004521B9">
        <w:tc>
          <w:tcPr>
            <w:tcW w:w="1951" w:type="dxa"/>
          </w:tcPr>
          <w:p w:rsidR="004521B9" w:rsidRPr="00402884" w:rsidRDefault="004521B9">
            <w:pPr>
              <w:rPr>
                <w:b/>
                <w:sz w:val="20"/>
                <w:szCs w:val="20"/>
              </w:rPr>
            </w:pPr>
            <w:r w:rsidRPr="00402884">
              <w:rPr>
                <w:b/>
                <w:sz w:val="20"/>
                <w:szCs w:val="20"/>
              </w:rPr>
              <w:t>Memory</w:t>
            </w:r>
          </w:p>
        </w:tc>
        <w:tc>
          <w:tcPr>
            <w:tcW w:w="3686" w:type="dxa"/>
          </w:tcPr>
          <w:p w:rsidR="004521B9" w:rsidRPr="00402884" w:rsidRDefault="00886855">
            <w:pPr>
              <w:rPr>
                <w:sz w:val="20"/>
                <w:szCs w:val="20"/>
              </w:rPr>
            </w:pPr>
            <w:r w:rsidRPr="00402884">
              <w:rPr>
                <w:sz w:val="20"/>
                <w:szCs w:val="20"/>
              </w:rPr>
              <w:t>Memory loss is an early sign.  Loss of recent memory is soon followed by progressive decline in recent and remote memory.</w:t>
            </w:r>
          </w:p>
        </w:tc>
        <w:tc>
          <w:tcPr>
            <w:tcW w:w="3939" w:type="dxa"/>
          </w:tcPr>
          <w:p w:rsidR="004521B9" w:rsidRPr="00402884" w:rsidRDefault="00886855">
            <w:pPr>
              <w:rPr>
                <w:sz w:val="20"/>
                <w:szCs w:val="20"/>
              </w:rPr>
            </w:pPr>
            <w:r w:rsidRPr="00402884">
              <w:rPr>
                <w:sz w:val="20"/>
                <w:szCs w:val="20"/>
              </w:rPr>
              <w:t>Gradual, spotty memory loss</w:t>
            </w:r>
            <w:r w:rsidR="005F2688" w:rsidRPr="00402884">
              <w:rPr>
                <w:sz w:val="20"/>
                <w:szCs w:val="20"/>
              </w:rPr>
              <w:t>. Most often affects recent memory</w:t>
            </w:r>
          </w:p>
        </w:tc>
      </w:tr>
      <w:tr w:rsidR="004521B9" w:rsidRPr="00402884" w:rsidTr="004521B9">
        <w:tc>
          <w:tcPr>
            <w:tcW w:w="1951" w:type="dxa"/>
          </w:tcPr>
          <w:p w:rsidR="004521B9" w:rsidRPr="00402884" w:rsidRDefault="004521B9">
            <w:pPr>
              <w:rPr>
                <w:b/>
                <w:sz w:val="20"/>
                <w:szCs w:val="20"/>
              </w:rPr>
            </w:pPr>
            <w:r w:rsidRPr="00402884">
              <w:rPr>
                <w:b/>
                <w:sz w:val="20"/>
                <w:szCs w:val="20"/>
              </w:rPr>
              <w:t>Personality</w:t>
            </w:r>
          </w:p>
        </w:tc>
        <w:tc>
          <w:tcPr>
            <w:tcW w:w="3686" w:type="dxa"/>
          </w:tcPr>
          <w:p w:rsidR="004521B9" w:rsidRPr="00402884" w:rsidRDefault="005F2688">
            <w:pPr>
              <w:rPr>
                <w:sz w:val="20"/>
                <w:szCs w:val="20"/>
              </w:rPr>
            </w:pPr>
            <w:proofErr w:type="gramStart"/>
            <w:r w:rsidRPr="00402884">
              <w:rPr>
                <w:sz w:val="20"/>
                <w:szCs w:val="20"/>
              </w:rPr>
              <w:t>Apathetic</w:t>
            </w:r>
            <w:r w:rsidR="00AC7EA5">
              <w:rPr>
                <w:sz w:val="20"/>
                <w:szCs w:val="20"/>
              </w:rPr>
              <w:t>(</w:t>
            </w:r>
            <w:proofErr w:type="gramEnd"/>
            <w:r w:rsidR="00AC7EA5">
              <w:rPr>
                <w:sz w:val="20"/>
                <w:szCs w:val="20"/>
              </w:rPr>
              <w:t>later stages)</w:t>
            </w:r>
            <w:r w:rsidRPr="00402884">
              <w:rPr>
                <w:sz w:val="20"/>
                <w:szCs w:val="20"/>
              </w:rPr>
              <w:t>, indifferent, irritable.  Early on social behaviour remains intact as person is able to hide cognitive deficits.  As the disease progresses person becomes disengaged from activities and relationships, becomes suspicious, paranoid delusions r/t memory loss, can be aggressive</w:t>
            </w:r>
          </w:p>
        </w:tc>
        <w:tc>
          <w:tcPr>
            <w:tcW w:w="3939" w:type="dxa"/>
          </w:tcPr>
          <w:p w:rsidR="004521B9" w:rsidRPr="00402884" w:rsidRDefault="00A35158">
            <w:pPr>
              <w:rPr>
                <w:sz w:val="20"/>
                <w:szCs w:val="20"/>
              </w:rPr>
            </w:pPr>
            <w:r w:rsidRPr="00402884">
              <w:rPr>
                <w:sz w:val="20"/>
                <w:szCs w:val="20"/>
              </w:rPr>
              <w:t>Depression, Apathy</w:t>
            </w:r>
            <w:r w:rsidR="00AC7EA5">
              <w:rPr>
                <w:sz w:val="20"/>
                <w:szCs w:val="20"/>
              </w:rPr>
              <w:t xml:space="preserve"> present.  Apathy early in the disease is more likely indicative of vascular dementia as usually only occurs late with AD. (Wikipedia, 2009).</w:t>
            </w:r>
          </w:p>
        </w:tc>
      </w:tr>
      <w:tr w:rsidR="004521B9" w:rsidRPr="00402884" w:rsidTr="004521B9">
        <w:tc>
          <w:tcPr>
            <w:tcW w:w="1951" w:type="dxa"/>
          </w:tcPr>
          <w:p w:rsidR="004521B9" w:rsidRPr="00402884" w:rsidRDefault="004521B9">
            <w:pPr>
              <w:rPr>
                <w:b/>
                <w:sz w:val="20"/>
                <w:szCs w:val="20"/>
              </w:rPr>
            </w:pPr>
            <w:r w:rsidRPr="00402884">
              <w:rPr>
                <w:b/>
                <w:sz w:val="20"/>
                <w:szCs w:val="20"/>
              </w:rPr>
              <w:t>Functional Status/ADL’s</w:t>
            </w:r>
          </w:p>
        </w:tc>
        <w:tc>
          <w:tcPr>
            <w:tcW w:w="3686" w:type="dxa"/>
          </w:tcPr>
          <w:p w:rsidR="004521B9" w:rsidRPr="00402884" w:rsidRDefault="005F2688">
            <w:pPr>
              <w:rPr>
                <w:sz w:val="20"/>
                <w:szCs w:val="20"/>
              </w:rPr>
            </w:pPr>
            <w:r w:rsidRPr="00402884">
              <w:rPr>
                <w:sz w:val="20"/>
                <w:szCs w:val="20"/>
              </w:rPr>
              <w:t>P</w:t>
            </w:r>
            <w:r w:rsidR="00C95073" w:rsidRPr="00402884">
              <w:rPr>
                <w:sz w:val="20"/>
                <w:szCs w:val="20"/>
              </w:rPr>
              <w:t>rogressive decline in functional ability</w:t>
            </w:r>
          </w:p>
        </w:tc>
        <w:tc>
          <w:tcPr>
            <w:tcW w:w="3939" w:type="dxa"/>
          </w:tcPr>
          <w:p w:rsidR="004521B9" w:rsidRPr="00402884" w:rsidRDefault="00AC7EA5">
            <w:pPr>
              <w:rPr>
                <w:sz w:val="20"/>
                <w:szCs w:val="20"/>
              </w:rPr>
            </w:pPr>
            <w:r>
              <w:rPr>
                <w:sz w:val="20"/>
                <w:szCs w:val="20"/>
              </w:rPr>
              <w:t>A step wise progression</w:t>
            </w:r>
          </w:p>
        </w:tc>
      </w:tr>
      <w:tr w:rsidR="004521B9" w:rsidRPr="00402884" w:rsidTr="004521B9">
        <w:tc>
          <w:tcPr>
            <w:tcW w:w="1951" w:type="dxa"/>
          </w:tcPr>
          <w:p w:rsidR="004521B9" w:rsidRPr="00402884" w:rsidRDefault="004521B9">
            <w:pPr>
              <w:rPr>
                <w:b/>
                <w:sz w:val="20"/>
                <w:szCs w:val="20"/>
              </w:rPr>
            </w:pPr>
            <w:r w:rsidRPr="00402884">
              <w:rPr>
                <w:b/>
                <w:sz w:val="20"/>
                <w:szCs w:val="20"/>
              </w:rPr>
              <w:t>Psychomotor Activity</w:t>
            </w:r>
          </w:p>
        </w:tc>
        <w:tc>
          <w:tcPr>
            <w:tcW w:w="3686" w:type="dxa"/>
          </w:tcPr>
          <w:p w:rsidR="004521B9" w:rsidRPr="00402884" w:rsidRDefault="00C95073">
            <w:pPr>
              <w:rPr>
                <w:sz w:val="20"/>
                <w:szCs w:val="20"/>
              </w:rPr>
            </w:pPr>
            <w:proofErr w:type="spellStart"/>
            <w:r w:rsidRPr="00402884">
              <w:rPr>
                <w:sz w:val="20"/>
                <w:szCs w:val="20"/>
              </w:rPr>
              <w:t>Distractable</w:t>
            </w:r>
            <w:proofErr w:type="spellEnd"/>
            <w:r w:rsidRPr="00402884">
              <w:rPr>
                <w:sz w:val="20"/>
                <w:szCs w:val="20"/>
              </w:rPr>
              <w:t>, short attention span</w:t>
            </w:r>
          </w:p>
        </w:tc>
        <w:tc>
          <w:tcPr>
            <w:tcW w:w="3939" w:type="dxa"/>
          </w:tcPr>
          <w:p w:rsidR="004521B9" w:rsidRPr="00402884" w:rsidRDefault="00AC7EA5">
            <w:pPr>
              <w:rPr>
                <w:sz w:val="20"/>
                <w:szCs w:val="20"/>
              </w:rPr>
            </w:pPr>
            <w:r>
              <w:rPr>
                <w:sz w:val="20"/>
                <w:szCs w:val="20"/>
              </w:rPr>
              <w:t>Same</w:t>
            </w:r>
          </w:p>
        </w:tc>
      </w:tr>
      <w:tr w:rsidR="004521B9" w:rsidRPr="00402884" w:rsidTr="004521B9">
        <w:tc>
          <w:tcPr>
            <w:tcW w:w="1951" w:type="dxa"/>
          </w:tcPr>
          <w:p w:rsidR="004521B9" w:rsidRPr="00402884" w:rsidRDefault="004521B9">
            <w:pPr>
              <w:rPr>
                <w:b/>
                <w:sz w:val="20"/>
                <w:szCs w:val="20"/>
              </w:rPr>
            </w:pPr>
            <w:r w:rsidRPr="00402884">
              <w:rPr>
                <w:b/>
                <w:sz w:val="20"/>
                <w:szCs w:val="20"/>
              </w:rPr>
              <w:t>Sleep-Wake Cycle</w:t>
            </w:r>
          </w:p>
        </w:tc>
        <w:tc>
          <w:tcPr>
            <w:tcW w:w="3686" w:type="dxa"/>
          </w:tcPr>
          <w:p w:rsidR="004521B9" w:rsidRPr="00402884" w:rsidRDefault="00C95073">
            <w:pPr>
              <w:rPr>
                <w:sz w:val="20"/>
                <w:szCs w:val="20"/>
              </w:rPr>
            </w:pPr>
            <w:r w:rsidRPr="00402884">
              <w:rPr>
                <w:sz w:val="20"/>
                <w:szCs w:val="20"/>
              </w:rPr>
              <w:t>Often impaired, wandering and agitation at night</w:t>
            </w:r>
          </w:p>
        </w:tc>
        <w:tc>
          <w:tcPr>
            <w:tcW w:w="3939" w:type="dxa"/>
          </w:tcPr>
          <w:p w:rsidR="004521B9" w:rsidRPr="00402884" w:rsidRDefault="00A35158">
            <w:pPr>
              <w:rPr>
                <w:sz w:val="20"/>
                <w:szCs w:val="20"/>
              </w:rPr>
            </w:pPr>
            <w:r w:rsidRPr="00402884">
              <w:rPr>
                <w:sz w:val="20"/>
                <w:szCs w:val="20"/>
              </w:rPr>
              <w:t>May also wander</w:t>
            </w:r>
          </w:p>
        </w:tc>
      </w:tr>
    </w:tbl>
    <w:p w:rsidR="004521B9" w:rsidRPr="00402884" w:rsidRDefault="00A955E5">
      <w:pPr>
        <w:rPr>
          <w:sz w:val="20"/>
          <w:szCs w:val="20"/>
        </w:rPr>
      </w:pPr>
      <w:r w:rsidRPr="00402884">
        <w:rPr>
          <w:b/>
          <w:sz w:val="20"/>
          <w:szCs w:val="20"/>
        </w:rPr>
        <w:t xml:space="preserve"> </w:t>
      </w:r>
      <w:r w:rsidR="00CB5021">
        <w:rPr>
          <w:b/>
          <w:sz w:val="20"/>
          <w:szCs w:val="20"/>
        </w:rPr>
        <w:t xml:space="preserve">Unless otherwise indicated the above info is derived from: </w:t>
      </w:r>
      <w:r w:rsidRPr="00402884">
        <w:rPr>
          <w:sz w:val="20"/>
          <w:szCs w:val="20"/>
        </w:rPr>
        <w:t>(</w:t>
      </w:r>
      <w:proofErr w:type="spellStart"/>
      <w:r w:rsidRPr="00402884">
        <w:rPr>
          <w:sz w:val="20"/>
          <w:szCs w:val="20"/>
        </w:rPr>
        <w:t>Smeltzer</w:t>
      </w:r>
      <w:proofErr w:type="spellEnd"/>
      <w:r w:rsidRPr="00402884">
        <w:rPr>
          <w:sz w:val="20"/>
          <w:szCs w:val="20"/>
        </w:rPr>
        <w:t xml:space="preserve"> &amp; Bare, 2000).</w:t>
      </w:r>
    </w:p>
    <w:p w:rsidR="00646612" w:rsidRPr="00646612" w:rsidRDefault="00646612" w:rsidP="000D5279">
      <w:pPr>
        <w:spacing w:line="480" w:lineRule="auto"/>
        <w:ind w:firstLine="720"/>
        <w:rPr>
          <w:rFonts w:ascii="Calibri" w:eastAsia="Times New Roman" w:hAnsi="Calibri" w:cs="Times New Roman"/>
          <w:spacing w:val="5"/>
          <w:lang w:eastAsia="en-CA"/>
        </w:rPr>
      </w:pPr>
      <w:r w:rsidRPr="00646612">
        <w:rPr>
          <w:rFonts w:ascii="Calibri" w:eastAsia="Times New Roman" w:hAnsi="Calibri" w:cs="Times New Roman"/>
          <w:spacing w:val="5"/>
          <w:lang w:eastAsia="en-CA"/>
        </w:rPr>
        <w:t xml:space="preserve">Recently, researchers have discovered evidence linking stroke and traumatic brain injury to Alzheimer’s disease (News-Medical.Net, 2007). After a stroke or TBI an increase in the protein-cleaving enzyme, BACE is noted. BACE snips a brain protein called amyloid precursor protein to form a shorter protein called </w:t>
      </w:r>
      <w:proofErr w:type="gramStart"/>
      <w:r w:rsidRPr="00646612">
        <w:rPr>
          <w:rFonts w:ascii="Calibri" w:eastAsia="Times New Roman" w:hAnsi="Calibri" w:cs="Times New Roman"/>
          <w:spacing w:val="5"/>
          <w:lang w:eastAsia="en-CA"/>
        </w:rPr>
        <w:t>A</w:t>
      </w:r>
      <w:proofErr w:type="gramEnd"/>
      <w:r w:rsidRPr="00646612">
        <w:rPr>
          <w:rFonts w:ascii="Calibri" w:eastAsia="Times New Roman" w:hAnsi="Calibri" w:cs="Times New Roman"/>
          <w:spacing w:val="5"/>
          <w:lang w:eastAsia="en-CA"/>
        </w:rPr>
        <w:t xml:space="preserve"> beta peptide </w:t>
      </w:r>
      <w:r w:rsidRPr="00855111">
        <w:rPr>
          <w:rFonts w:ascii="Calibri" w:eastAsia="Times New Roman" w:hAnsi="Calibri" w:cs="Times New Roman"/>
          <w:spacing w:val="5"/>
          <w:lang w:eastAsia="en-CA"/>
        </w:rPr>
        <w:t>that is a building block for am</w:t>
      </w:r>
      <w:r w:rsidRPr="00646612">
        <w:rPr>
          <w:rFonts w:ascii="Calibri" w:eastAsia="Times New Roman" w:hAnsi="Calibri" w:cs="Times New Roman"/>
          <w:spacing w:val="5"/>
          <w:lang w:eastAsia="en-CA"/>
        </w:rPr>
        <w:t>y</w:t>
      </w:r>
      <w:r w:rsidRPr="00855111">
        <w:rPr>
          <w:rFonts w:ascii="Calibri" w:eastAsia="Times New Roman" w:hAnsi="Calibri" w:cs="Times New Roman"/>
          <w:spacing w:val="5"/>
          <w:lang w:eastAsia="en-CA"/>
        </w:rPr>
        <w:t>l</w:t>
      </w:r>
      <w:r w:rsidRPr="00646612">
        <w:rPr>
          <w:rFonts w:ascii="Calibri" w:eastAsia="Times New Roman" w:hAnsi="Calibri" w:cs="Times New Roman"/>
          <w:spacing w:val="5"/>
          <w:lang w:eastAsia="en-CA"/>
        </w:rPr>
        <w:t xml:space="preserve">oid plaques (News-Medical.Net, 2007). In the case of TBI, elevated BACE enzymes are attributed to enzymes produced </w:t>
      </w:r>
      <w:r w:rsidRPr="00646612">
        <w:rPr>
          <w:rFonts w:ascii="Calibri" w:eastAsia="Times New Roman" w:hAnsi="Calibri" w:cs="Times New Roman"/>
          <w:spacing w:val="5"/>
          <w:lang w:eastAsia="en-CA"/>
        </w:rPr>
        <w:lastRenderedPageBreak/>
        <w:t>dur</w:t>
      </w:r>
      <w:r w:rsidRPr="00855111">
        <w:rPr>
          <w:rFonts w:ascii="Calibri" w:eastAsia="Times New Roman" w:hAnsi="Calibri" w:cs="Times New Roman"/>
          <w:spacing w:val="5"/>
          <w:lang w:eastAsia="en-CA"/>
        </w:rPr>
        <w:t>ing the assault on the brain</w:t>
      </w:r>
      <w:r w:rsidRPr="00646612">
        <w:rPr>
          <w:rFonts w:ascii="Calibri" w:eastAsia="Times New Roman" w:hAnsi="Calibri" w:cs="Times New Roman"/>
          <w:spacing w:val="5"/>
          <w:lang w:eastAsia="en-CA"/>
        </w:rPr>
        <w:t xml:space="preserve">, called caspases, which allows the BACE enzymes to linger in the brain cells. Caspases destroy cells that have been damaged by ischemia. </w:t>
      </w:r>
    </w:p>
    <w:p w:rsidR="00646612" w:rsidRPr="00646612" w:rsidRDefault="00646612" w:rsidP="000D5279">
      <w:pPr>
        <w:spacing w:line="480" w:lineRule="auto"/>
        <w:ind w:firstLine="720"/>
        <w:rPr>
          <w:rFonts w:ascii="Times New Roman" w:eastAsia="Times New Roman" w:hAnsi="Times New Roman" w:cs="Times New Roman"/>
          <w:spacing w:val="5"/>
          <w:lang w:eastAsia="en-CA"/>
        </w:rPr>
      </w:pPr>
      <w:r w:rsidRPr="00646612">
        <w:rPr>
          <w:rFonts w:ascii="Calibri" w:eastAsia="Times New Roman" w:hAnsi="Calibri" w:cs="Times New Roman"/>
          <w:spacing w:val="5"/>
          <w:lang w:eastAsia="en-CA"/>
        </w:rPr>
        <w:t>Given the above information, it is feasible to assume that multiple factors have affected Mr. C’s cognitive impairment</w:t>
      </w:r>
    </w:p>
    <w:p w:rsidR="00262C67" w:rsidRDefault="00262C67" w:rsidP="000D5279">
      <w:pPr>
        <w:spacing w:line="480" w:lineRule="auto"/>
      </w:pPr>
    </w:p>
    <w:p w:rsidR="00FE1F1B" w:rsidRDefault="00FE1F1B" w:rsidP="000D5279">
      <w:pPr>
        <w:spacing w:line="480" w:lineRule="auto"/>
        <w:rPr>
          <w:b/>
        </w:rPr>
      </w:pPr>
      <w:r>
        <w:rPr>
          <w:b/>
        </w:rPr>
        <w:t xml:space="preserve">Mr. C. states that he had at least one seizure while in hospital.  He wants to know why this happened and what happened in his brain to cause this. </w:t>
      </w:r>
    </w:p>
    <w:p w:rsidR="00E92614" w:rsidRPr="00E92614" w:rsidRDefault="00E92614" w:rsidP="000D5279">
      <w:pPr>
        <w:shd w:val="clear" w:color="auto" w:fill="FFFFFF"/>
        <w:spacing w:line="480" w:lineRule="auto"/>
        <w:ind w:firstLine="720"/>
        <w:rPr>
          <w:rFonts w:cs="Segoe UI"/>
        </w:rPr>
      </w:pPr>
      <w:r w:rsidRPr="00E92614">
        <w:rPr>
          <w:rFonts w:cs="Segoe UI"/>
        </w:rPr>
        <w:t>McCance and Heuther (2006) define a seizure as a sudden rapid disorderly discharge of neurons that result in alterations in brain functioning. This results in physical manifestations and often a decrease in level of consciousness. Recurrent, unprovoked seizures are characteristic of epilepsy.  Seizures can also occur in the absence of epilepsy. Nowack (2009) indicates that non-epileptic seizures may occur as result of infection, stroke, brain trauma, medication toxicity, drug and alcohol withdrawal, and metabolic disturbances such as hypoglycemia.  Mr. C. presents with several of these risk factors.  He has recently suffered a stroke, a concussion while in hospital and is a Type 2 diabetic.  It is possible that he was hypoglycemic at the time of his fall. Seizures may also occur as result of space occupying lesio</w:t>
      </w:r>
      <w:r w:rsidR="00F611FF">
        <w:rPr>
          <w:rFonts w:cs="Segoe UI"/>
        </w:rPr>
        <w:t>ns in the brain (Merck</w:t>
      </w:r>
      <w:proofErr w:type="gramStart"/>
      <w:r w:rsidR="00F611FF">
        <w:rPr>
          <w:rFonts w:cs="Segoe UI"/>
        </w:rPr>
        <w:t>,2008</w:t>
      </w:r>
      <w:proofErr w:type="gramEnd"/>
      <w:r w:rsidR="00F611FF">
        <w:rPr>
          <w:rFonts w:cs="Segoe UI"/>
        </w:rPr>
        <w:t>)</w:t>
      </w:r>
      <w:r w:rsidRPr="00E92614">
        <w:rPr>
          <w:rFonts w:cs="Segoe UI"/>
        </w:rPr>
        <w:t xml:space="preserve">.  It is possible that Mr. C. has brain metastases. </w:t>
      </w:r>
      <w:r w:rsidRPr="00E92614">
        <w:rPr>
          <w:rFonts w:cs="Segoe UI"/>
        </w:rPr>
        <w:br/>
        <w:t> </w:t>
      </w:r>
      <w:r w:rsidRPr="00E92614">
        <w:rPr>
          <w:rFonts w:cs="Segoe UI"/>
        </w:rPr>
        <w:br/>
        <w:t>Other causes of seizure without epilepsy:</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Atrivenous malformation</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Drug intoxication</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 xml:space="preserve">Aminophylline or local </w:t>
      </w:r>
      <w:r w:rsidR="00FD11E6" w:rsidRPr="00E92614">
        <w:rPr>
          <w:rFonts w:cs="Segoe UI"/>
        </w:rPr>
        <w:t>anaesthetic</w:t>
      </w:r>
      <w:r w:rsidRPr="00E92614">
        <w:rPr>
          <w:rFonts w:cs="Segoe UI"/>
        </w:rPr>
        <w:t xml:space="preserve"> toxicity</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Drugs that lower the seizure threshold such as TCA's</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lastRenderedPageBreak/>
        <w:t>Neurologic infections such as encephalitis</w:t>
      </w:r>
      <w:r w:rsidR="00F611FF">
        <w:rPr>
          <w:rFonts w:cs="Segoe UI"/>
        </w:rPr>
        <w:t>,</w:t>
      </w:r>
      <w:r w:rsidRPr="00E92614">
        <w:rPr>
          <w:rFonts w:cs="Segoe UI"/>
        </w:rPr>
        <w:t xml:space="preserve"> meningitis</w:t>
      </w:r>
      <w:r w:rsidR="00F611FF">
        <w:rPr>
          <w:rFonts w:cs="Segoe UI"/>
        </w:rPr>
        <w:t>, AIDS, Malaria, Rabies, Syphilis, Tetanus, Toxoplasmosis</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Fever -common in children &lt; 5 years</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Metabolic disturbances including hyponatremia, hypoxia</w:t>
      </w:r>
      <w:r w:rsidR="00F611FF">
        <w:rPr>
          <w:rFonts w:cs="Segoe UI"/>
        </w:rPr>
        <w:t xml:space="preserve">, hypoglycemia, Kidney &amp; Liver failure, underactive parathyroid gland, </w:t>
      </w:r>
      <w:proofErr w:type="spellStart"/>
      <w:r w:rsidR="00F611FF">
        <w:rPr>
          <w:rFonts w:cs="Segoe UI"/>
        </w:rPr>
        <w:t>Vitamine</w:t>
      </w:r>
      <w:proofErr w:type="spellEnd"/>
      <w:r w:rsidR="00F611FF">
        <w:rPr>
          <w:rFonts w:cs="Segoe UI"/>
        </w:rPr>
        <w:t xml:space="preserve"> B6 deficiency </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 xml:space="preserve">Drug </w:t>
      </w:r>
      <w:r w:rsidR="00FD11E6" w:rsidRPr="00E92614">
        <w:rPr>
          <w:rFonts w:cs="Segoe UI"/>
        </w:rPr>
        <w:t>withdrawal</w:t>
      </w:r>
      <w:r w:rsidRPr="00E92614">
        <w:rPr>
          <w:rFonts w:cs="Segoe UI"/>
        </w:rPr>
        <w:t xml:space="preserve"> (anticonvulsants, sedatives, alcohol, barbituates, benzo</w:t>
      </w:r>
      <w:r w:rsidR="00FD11E6">
        <w:rPr>
          <w:rFonts w:cs="Segoe UI"/>
        </w:rPr>
        <w:t>diazepine</w:t>
      </w:r>
      <w:r w:rsidRPr="00E92614">
        <w:rPr>
          <w:rFonts w:cs="Segoe UI"/>
        </w:rPr>
        <w:t>)</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Space occupying lesions in the brain (</w:t>
      </w:r>
      <w:r w:rsidR="00FD11E6" w:rsidRPr="00E92614">
        <w:rPr>
          <w:rFonts w:cs="Segoe UI"/>
        </w:rPr>
        <w:t>abscess</w:t>
      </w:r>
      <w:r w:rsidRPr="00E92614">
        <w:rPr>
          <w:rFonts w:cs="Segoe UI"/>
        </w:rPr>
        <w:t>/</w:t>
      </w:r>
      <w:r w:rsidR="00FD11E6" w:rsidRPr="00E92614">
        <w:rPr>
          <w:rFonts w:cs="Segoe UI"/>
        </w:rPr>
        <w:t>tumour</w:t>
      </w:r>
      <w:r w:rsidRPr="00E92614">
        <w:rPr>
          <w:rFonts w:cs="Segoe UI"/>
        </w:rPr>
        <w:t>)</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During pregnancy, possibly associated with eclampsia</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Stroke</w:t>
      </w:r>
      <w:r w:rsidR="00F611FF">
        <w:rPr>
          <w:rFonts w:cs="Segoe UI"/>
        </w:rPr>
        <w:t>- inadequate brain perfusion such as arrhythmia, carbon monoxide poisoning, near drowning/suffocation</w:t>
      </w:r>
    </w:p>
    <w:p w:rsidR="00E92614" w:rsidRPr="00E92614" w:rsidRDefault="00E92614" w:rsidP="000D5279">
      <w:pPr>
        <w:numPr>
          <w:ilvl w:val="0"/>
          <w:numId w:val="3"/>
        </w:numPr>
        <w:shd w:val="clear" w:color="auto" w:fill="FFFFFF"/>
        <w:spacing w:after="45" w:line="480" w:lineRule="auto"/>
        <w:ind w:left="240"/>
        <w:rPr>
          <w:rFonts w:cs="Segoe UI"/>
        </w:rPr>
      </w:pPr>
      <w:r w:rsidRPr="00E92614">
        <w:rPr>
          <w:rFonts w:cs="Segoe UI"/>
        </w:rPr>
        <w:t>MS- rare</w:t>
      </w:r>
    </w:p>
    <w:p w:rsidR="00E92614" w:rsidRDefault="00E92614" w:rsidP="000D5279">
      <w:pPr>
        <w:numPr>
          <w:ilvl w:val="0"/>
          <w:numId w:val="3"/>
        </w:numPr>
        <w:shd w:val="clear" w:color="auto" w:fill="FFFFFF"/>
        <w:spacing w:after="45" w:line="480" w:lineRule="auto"/>
        <w:ind w:left="240"/>
        <w:rPr>
          <w:rFonts w:cs="Segoe UI"/>
        </w:rPr>
      </w:pPr>
      <w:r w:rsidRPr="00E92614">
        <w:rPr>
          <w:rFonts w:cs="Segoe UI"/>
        </w:rPr>
        <w:t>Rapid light patters (video games)</w:t>
      </w:r>
    </w:p>
    <w:p w:rsidR="00F611FF" w:rsidRDefault="00F611FF" w:rsidP="000D5279">
      <w:pPr>
        <w:numPr>
          <w:ilvl w:val="0"/>
          <w:numId w:val="3"/>
        </w:numPr>
        <w:shd w:val="clear" w:color="auto" w:fill="FFFFFF"/>
        <w:spacing w:after="45" w:line="480" w:lineRule="auto"/>
        <w:ind w:left="240"/>
        <w:rPr>
          <w:rFonts w:cs="Segoe UI"/>
        </w:rPr>
      </w:pPr>
      <w:r>
        <w:rPr>
          <w:rFonts w:cs="Segoe UI"/>
        </w:rPr>
        <w:t>Structural damage to brain- tumours, hydrocephalus</w:t>
      </w:r>
    </w:p>
    <w:p w:rsidR="000633BC" w:rsidRDefault="000633BC" w:rsidP="000D5279">
      <w:pPr>
        <w:numPr>
          <w:ilvl w:val="0"/>
          <w:numId w:val="3"/>
        </w:numPr>
        <w:shd w:val="clear" w:color="auto" w:fill="FFFFFF"/>
        <w:spacing w:after="45" w:line="480" w:lineRule="auto"/>
        <w:ind w:left="240"/>
        <w:rPr>
          <w:rFonts w:cs="Segoe UI"/>
        </w:rPr>
      </w:pPr>
      <w:r>
        <w:rPr>
          <w:rFonts w:cs="Segoe UI"/>
        </w:rPr>
        <w:t xml:space="preserve">Birth abnormalities and hereditary disorders like Tay-Sachs disease and </w:t>
      </w:r>
      <w:proofErr w:type="spellStart"/>
      <w:r>
        <w:rPr>
          <w:rFonts w:cs="Segoe UI"/>
        </w:rPr>
        <w:t>phenylketonuria</w:t>
      </w:r>
      <w:proofErr w:type="spellEnd"/>
    </w:p>
    <w:p w:rsidR="000633BC" w:rsidRDefault="000633BC" w:rsidP="000D5279">
      <w:pPr>
        <w:numPr>
          <w:ilvl w:val="0"/>
          <w:numId w:val="3"/>
        </w:numPr>
        <w:shd w:val="clear" w:color="auto" w:fill="FFFFFF"/>
        <w:spacing w:after="45" w:line="480" w:lineRule="auto"/>
        <w:ind w:left="240"/>
        <w:rPr>
          <w:rFonts w:cs="Segoe UI"/>
        </w:rPr>
      </w:pPr>
      <w:r>
        <w:rPr>
          <w:rFonts w:cs="Segoe UI"/>
        </w:rPr>
        <w:t xml:space="preserve">Some prescription drugs </w:t>
      </w:r>
    </w:p>
    <w:p w:rsidR="000633BC" w:rsidRDefault="000633BC" w:rsidP="000D5279">
      <w:pPr>
        <w:numPr>
          <w:ilvl w:val="0"/>
          <w:numId w:val="3"/>
        </w:numPr>
        <w:shd w:val="clear" w:color="auto" w:fill="FFFFFF"/>
        <w:spacing w:after="45" w:line="480" w:lineRule="auto"/>
        <w:ind w:left="240"/>
        <w:rPr>
          <w:rFonts w:cs="Segoe UI"/>
        </w:rPr>
      </w:pPr>
      <w:r>
        <w:rPr>
          <w:rFonts w:cs="Segoe UI"/>
        </w:rPr>
        <w:t>Cocaine and Amphetamine use</w:t>
      </w:r>
    </w:p>
    <w:p w:rsidR="00C748D2" w:rsidRPr="00C748D2" w:rsidRDefault="000633BC" w:rsidP="000D5279">
      <w:pPr>
        <w:numPr>
          <w:ilvl w:val="0"/>
          <w:numId w:val="3"/>
        </w:numPr>
        <w:shd w:val="clear" w:color="auto" w:fill="FFFFFF"/>
        <w:spacing w:after="45" w:line="480" w:lineRule="auto"/>
        <w:ind w:left="240"/>
      </w:pPr>
      <w:r>
        <w:rPr>
          <w:rFonts w:cs="Segoe UI"/>
        </w:rPr>
        <w:t>Exposure to toxins such as lead and strychnine</w:t>
      </w:r>
    </w:p>
    <w:p w:rsidR="000D5279" w:rsidRDefault="00C748D2" w:rsidP="000D5279">
      <w:pPr>
        <w:shd w:val="clear" w:color="auto" w:fill="FFFFFF"/>
        <w:spacing w:after="45" w:line="480" w:lineRule="auto"/>
        <w:ind w:left="240"/>
        <w:rPr>
          <w:rFonts w:cs="Segoe UI"/>
        </w:rPr>
      </w:pPr>
      <w:proofErr w:type="gramStart"/>
      <w:r>
        <w:rPr>
          <w:rFonts w:cs="Segoe UI"/>
        </w:rPr>
        <w:t>(Merck, 2008).</w:t>
      </w:r>
      <w:proofErr w:type="gramEnd"/>
    </w:p>
    <w:p w:rsidR="000D5279" w:rsidRDefault="000D5279" w:rsidP="000D5279">
      <w:pPr>
        <w:shd w:val="clear" w:color="auto" w:fill="FFFFFF"/>
        <w:spacing w:after="45" w:line="480" w:lineRule="auto"/>
        <w:ind w:left="240"/>
        <w:rPr>
          <w:rFonts w:cs="Segoe UI"/>
        </w:rPr>
      </w:pPr>
    </w:p>
    <w:p w:rsidR="000D5279" w:rsidRDefault="000D5279">
      <w:pPr>
        <w:rPr>
          <w:rFonts w:cs="Segoe UI"/>
        </w:rPr>
      </w:pPr>
      <w:r>
        <w:rPr>
          <w:rFonts w:cs="Segoe UI"/>
        </w:rPr>
        <w:br w:type="page"/>
      </w:r>
    </w:p>
    <w:p w:rsidR="00DA7E40" w:rsidRDefault="00DA7E40" w:rsidP="000D5279">
      <w:pPr>
        <w:shd w:val="clear" w:color="auto" w:fill="FFFFFF"/>
        <w:spacing w:after="45" w:line="480" w:lineRule="auto"/>
        <w:ind w:left="240"/>
        <w:jc w:val="center"/>
      </w:pPr>
      <w:r>
        <w:lastRenderedPageBreak/>
        <w:t>References</w:t>
      </w:r>
    </w:p>
    <w:p w:rsidR="00FD11E6" w:rsidRDefault="00FD11E6" w:rsidP="008F0886">
      <w:pPr>
        <w:spacing w:line="240" w:lineRule="auto"/>
        <w:rPr>
          <w:rFonts w:ascii="Calibri" w:eastAsia="Times New Roman" w:hAnsi="Calibri" w:cs="Times New Roman"/>
          <w:color w:val="000000"/>
          <w:spacing w:val="5"/>
          <w:sz w:val="24"/>
          <w:szCs w:val="24"/>
          <w:lang w:eastAsia="en-CA"/>
        </w:rPr>
      </w:pPr>
    </w:p>
    <w:p w:rsidR="008F0886" w:rsidRPr="000D5279" w:rsidRDefault="008F0886" w:rsidP="008F0886">
      <w:pPr>
        <w:spacing w:line="240" w:lineRule="auto"/>
        <w:rPr>
          <w:rFonts w:cs="Segoe UI"/>
        </w:rPr>
      </w:pPr>
      <w:proofErr w:type="gramStart"/>
      <w:r w:rsidRPr="000D5279">
        <w:rPr>
          <w:rFonts w:cs="Segoe UI"/>
        </w:rPr>
        <w:t>Hayashi, T., Shoji, M., &amp; Abe, K. (2006).</w:t>
      </w:r>
      <w:proofErr w:type="gramEnd"/>
      <w:r w:rsidR="000D5279">
        <w:rPr>
          <w:rFonts w:cs="Segoe UI"/>
        </w:rPr>
        <w:t xml:space="preserve"> </w:t>
      </w:r>
      <w:r w:rsidRPr="000D5279">
        <w:rPr>
          <w:rFonts w:cs="Segoe UI"/>
        </w:rPr>
        <w:t xml:space="preserve">Molecular mechanisms of ischemic neuronal cell </w:t>
      </w:r>
    </w:p>
    <w:p w:rsidR="008F0886" w:rsidRPr="000D5279" w:rsidRDefault="008F0886" w:rsidP="008F0886">
      <w:pPr>
        <w:spacing w:line="240" w:lineRule="auto"/>
        <w:ind w:firstLine="720"/>
        <w:rPr>
          <w:rFonts w:cs="Segoe UI"/>
        </w:rPr>
      </w:pPr>
      <w:proofErr w:type="gramStart"/>
      <w:r w:rsidRPr="000D5279">
        <w:rPr>
          <w:rFonts w:cs="Segoe UI"/>
        </w:rPr>
        <w:t>death-</w:t>
      </w:r>
      <w:proofErr w:type="gramEnd"/>
      <w:r w:rsidRPr="000D5279">
        <w:rPr>
          <w:rFonts w:cs="Segoe UI"/>
        </w:rPr>
        <w:t xml:space="preserve"> with relevance to Alzheimer’s Disease. </w:t>
      </w:r>
      <w:r w:rsidRPr="000D5279">
        <w:rPr>
          <w:rFonts w:cs="Segoe UI"/>
          <w:i/>
        </w:rPr>
        <w:t>Current Alzheimer Research, 3</w:t>
      </w:r>
      <w:r w:rsidRPr="000D5279">
        <w:rPr>
          <w:rFonts w:cs="Segoe UI"/>
        </w:rPr>
        <w:t>, 351-</w:t>
      </w:r>
    </w:p>
    <w:p w:rsidR="008F0886" w:rsidRPr="000D5279" w:rsidRDefault="008F0886" w:rsidP="008F0886">
      <w:pPr>
        <w:spacing w:line="240" w:lineRule="auto"/>
        <w:ind w:left="720"/>
        <w:rPr>
          <w:rFonts w:cs="Segoe UI"/>
        </w:rPr>
      </w:pPr>
      <w:r w:rsidRPr="000D5279">
        <w:rPr>
          <w:rFonts w:cs="Segoe UI"/>
        </w:rPr>
        <w:t>358.</w:t>
      </w:r>
    </w:p>
    <w:p w:rsidR="00855111" w:rsidRPr="000D5279" w:rsidRDefault="00855111" w:rsidP="00855111">
      <w:pPr>
        <w:spacing w:line="240" w:lineRule="auto"/>
        <w:rPr>
          <w:rFonts w:cs="Segoe UI"/>
        </w:rPr>
      </w:pPr>
      <w:proofErr w:type="spellStart"/>
      <w:proofErr w:type="gramStart"/>
      <w:r w:rsidRPr="000D5279">
        <w:rPr>
          <w:rFonts w:cs="Segoe UI"/>
        </w:rPr>
        <w:t>MayoClinic</w:t>
      </w:r>
      <w:proofErr w:type="spellEnd"/>
      <w:r w:rsidRPr="000D5279">
        <w:rPr>
          <w:rFonts w:cs="Segoe UI"/>
        </w:rPr>
        <w:t xml:space="preserve"> (2007).</w:t>
      </w:r>
      <w:proofErr w:type="gramEnd"/>
      <w:r w:rsidRPr="000D5279">
        <w:rPr>
          <w:rFonts w:cs="Segoe UI"/>
        </w:rPr>
        <w:t xml:space="preserve"> </w:t>
      </w:r>
      <w:proofErr w:type="gramStart"/>
      <w:r w:rsidRPr="000D5279">
        <w:rPr>
          <w:rFonts w:cs="Segoe UI"/>
        </w:rPr>
        <w:t>Vascular dementia.</w:t>
      </w:r>
      <w:proofErr w:type="gramEnd"/>
      <w:r w:rsidRPr="000D5279">
        <w:rPr>
          <w:rFonts w:cs="Segoe UI"/>
        </w:rPr>
        <w:t xml:space="preserve"> Retrieved January 27th 2009 from </w:t>
      </w:r>
    </w:p>
    <w:p w:rsidR="00855111" w:rsidRPr="000D5279" w:rsidRDefault="00855111" w:rsidP="00855111">
      <w:pPr>
        <w:spacing w:line="240" w:lineRule="auto"/>
        <w:ind w:firstLine="720"/>
        <w:rPr>
          <w:rFonts w:cs="Segoe UI"/>
        </w:rPr>
      </w:pPr>
      <w:r w:rsidRPr="000D5279">
        <w:rPr>
          <w:rFonts w:cs="Segoe UI"/>
        </w:rPr>
        <w:t>http://www.mayoclinic.com/health/vascular-dementia/DS00934/DSECTION=causes</w:t>
      </w:r>
    </w:p>
    <w:p w:rsidR="00DA7E40" w:rsidRPr="000D5279" w:rsidRDefault="00DA7E40" w:rsidP="00DC4957">
      <w:pPr>
        <w:spacing w:line="240" w:lineRule="auto"/>
        <w:rPr>
          <w:rFonts w:cs="Segoe UI"/>
        </w:rPr>
      </w:pPr>
      <w:proofErr w:type="spellStart"/>
      <w:proofErr w:type="gramStart"/>
      <w:r w:rsidRPr="000D5279">
        <w:rPr>
          <w:rFonts w:cs="Segoe UI"/>
        </w:rPr>
        <w:t>McCance</w:t>
      </w:r>
      <w:proofErr w:type="spellEnd"/>
      <w:r w:rsidRPr="000D5279">
        <w:rPr>
          <w:rFonts w:cs="Segoe UI"/>
        </w:rPr>
        <w:t>, K.</w:t>
      </w:r>
      <w:r w:rsidR="000D5279">
        <w:rPr>
          <w:rFonts w:cs="Segoe UI"/>
        </w:rPr>
        <w:t xml:space="preserve"> </w:t>
      </w:r>
      <w:r w:rsidRPr="000D5279">
        <w:rPr>
          <w:rFonts w:cs="Segoe UI"/>
        </w:rPr>
        <w:t xml:space="preserve">L., &amp; </w:t>
      </w:r>
      <w:proofErr w:type="spellStart"/>
      <w:r w:rsidRPr="000D5279">
        <w:rPr>
          <w:rFonts w:cs="Segoe UI"/>
        </w:rPr>
        <w:t>Huether</w:t>
      </w:r>
      <w:proofErr w:type="spellEnd"/>
      <w:r w:rsidRPr="000D5279">
        <w:rPr>
          <w:rFonts w:cs="Segoe UI"/>
        </w:rPr>
        <w:t>, S.</w:t>
      </w:r>
      <w:r w:rsidR="000D5279">
        <w:rPr>
          <w:rFonts w:cs="Segoe UI"/>
        </w:rPr>
        <w:t xml:space="preserve"> </w:t>
      </w:r>
      <w:r w:rsidRPr="000D5279">
        <w:rPr>
          <w:rFonts w:cs="Segoe UI"/>
        </w:rPr>
        <w:t>E. (2006).</w:t>
      </w:r>
      <w:proofErr w:type="gramEnd"/>
      <w:r w:rsidRPr="000D5279">
        <w:rPr>
          <w:rFonts w:cs="Segoe UI"/>
        </w:rPr>
        <w:t xml:space="preserve"> Pathophysiology: The</w:t>
      </w:r>
      <w:r w:rsidR="007270E4" w:rsidRPr="000D5279">
        <w:rPr>
          <w:rFonts w:cs="Segoe UI"/>
        </w:rPr>
        <w:t xml:space="preserve"> b</w:t>
      </w:r>
      <w:r w:rsidRPr="000D5279">
        <w:rPr>
          <w:rFonts w:cs="Segoe UI"/>
        </w:rPr>
        <w:t>iologic</w:t>
      </w:r>
      <w:r w:rsidR="007270E4" w:rsidRPr="000D5279">
        <w:rPr>
          <w:rFonts w:cs="Segoe UI"/>
        </w:rPr>
        <w:t xml:space="preserve"> b</w:t>
      </w:r>
      <w:r w:rsidRPr="000D5279">
        <w:rPr>
          <w:rFonts w:cs="Segoe UI"/>
        </w:rPr>
        <w:t>asis for</w:t>
      </w:r>
      <w:r w:rsidR="007270E4" w:rsidRPr="000D5279">
        <w:rPr>
          <w:rFonts w:cs="Segoe UI"/>
        </w:rPr>
        <w:t xml:space="preserve"> d</w:t>
      </w:r>
      <w:r w:rsidRPr="000D5279">
        <w:rPr>
          <w:rFonts w:cs="Segoe UI"/>
        </w:rPr>
        <w:t xml:space="preserve">isease in </w:t>
      </w:r>
      <w:r w:rsidR="007270E4" w:rsidRPr="000D5279">
        <w:rPr>
          <w:rFonts w:cs="Segoe UI"/>
        </w:rPr>
        <w:t>a</w:t>
      </w:r>
      <w:r w:rsidRPr="000D5279">
        <w:rPr>
          <w:rFonts w:cs="Segoe UI"/>
        </w:rPr>
        <w:t xml:space="preserve">dults and </w:t>
      </w:r>
    </w:p>
    <w:p w:rsidR="00DA7E40" w:rsidRPr="000D5279" w:rsidRDefault="007270E4" w:rsidP="00DC4957">
      <w:pPr>
        <w:spacing w:line="240" w:lineRule="auto"/>
        <w:ind w:firstLine="720"/>
        <w:rPr>
          <w:rFonts w:cs="Segoe UI"/>
        </w:rPr>
      </w:pPr>
      <w:proofErr w:type="gramStart"/>
      <w:r w:rsidRPr="000D5279">
        <w:rPr>
          <w:rFonts w:cs="Segoe UI"/>
        </w:rPr>
        <w:t>c</w:t>
      </w:r>
      <w:r w:rsidR="00DA7E40" w:rsidRPr="000D5279">
        <w:rPr>
          <w:rFonts w:cs="Segoe UI"/>
        </w:rPr>
        <w:t>hildren</w:t>
      </w:r>
      <w:proofErr w:type="gramEnd"/>
      <w:r w:rsidR="00DA7E40" w:rsidRPr="000D5279">
        <w:rPr>
          <w:rFonts w:cs="Segoe UI"/>
        </w:rPr>
        <w:t xml:space="preserve"> (5th ed.).  St. Louis: Elsevier Mosby.</w:t>
      </w:r>
    </w:p>
    <w:p w:rsidR="000633BC" w:rsidRPr="000D5279" w:rsidRDefault="000633BC" w:rsidP="008F0886">
      <w:pPr>
        <w:spacing w:line="240" w:lineRule="auto"/>
        <w:rPr>
          <w:rFonts w:cs="Segoe UI"/>
        </w:rPr>
      </w:pPr>
      <w:proofErr w:type="gramStart"/>
      <w:r w:rsidRPr="000D5279">
        <w:rPr>
          <w:rFonts w:cs="Segoe UI"/>
        </w:rPr>
        <w:t>Merck</w:t>
      </w:r>
      <w:r w:rsidR="000D5279">
        <w:rPr>
          <w:rFonts w:cs="Segoe UI"/>
        </w:rPr>
        <w:t>.</w:t>
      </w:r>
      <w:proofErr w:type="gramEnd"/>
      <w:r w:rsidRPr="000D5279">
        <w:rPr>
          <w:rFonts w:cs="Segoe UI"/>
        </w:rPr>
        <w:t xml:space="preserve"> </w:t>
      </w:r>
      <w:proofErr w:type="gramStart"/>
      <w:r w:rsidRPr="000D5279">
        <w:rPr>
          <w:rFonts w:cs="Segoe UI"/>
        </w:rPr>
        <w:t>(2008).</w:t>
      </w:r>
      <w:proofErr w:type="gramEnd"/>
      <w:r w:rsidRPr="000D5279">
        <w:rPr>
          <w:rFonts w:cs="Segoe UI"/>
        </w:rPr>
        <w:t xml:space="preserve"> </w:t>
      </w:r>
      <w:proofErr w:type="gramStart"/>
      <w:r w:rsidRPr="000D5279">
        <w:rPr>
          <w:rFonts w:cs="Segoe UI"/>
        </w:rPr>
        <w:t>Seizure disorders.</w:t>
      </w:r>
      <w:proofErr w:type="gramEnd"/>
      <w:r w:rsidRPr="000D5279">
        <w:rPr>
          <w:rFonts w:cs="Segoe UI"/>
        </w:rPr>
        <w:t xml:space="preserve"> Retrieved January 27th 2009 from </w:t>
      </w:r>
    </w:p>
    <w:p w:rsidR="000633BC" w:rsidRPr="000D5279" w:rsidRDefault="000633BC" w:rsidP="000633BC">
      <w:pPr>
        <w:spacing w:line="240" w:lineRule="auto"/>
        <w:ind w:firstLine="720"/>
        <w:rPr>
          <w:rFonts w:cs="Segoe UI"/>
        </w:rPr>
      </w:pPr>
      <w:r w:rsidRPr="000D5279">
        <w:rPr>
          <w:rFonts w:cs="Segoe UI"/>
        </w:rPr>
        <w:t>http://www.merck.com/mmhe/sec06/ch085/ch085a.html</w:t>
      </w:r>
    </w:p>
    <w:p w:rsidR="008F0886" w:rsidRPr="000D5279" w:rsidRDefault="008F0886" w:rsidP="008F0886">
      <w:pPr>
        <w:spacing w:line="240" w:lineRule="auto"/>
        <w:rPr>
          <w:rFonts w:cs="Segoe UI"/>
        </w:rPr>
      </w:pPr>
      <w:proofErr w:type="gramStart"/>
      <w:r w:rsidRPr="000D5279">
        <w:rPr>
          <w:rFonts w:cs="Segoe UI"/>
        </w:rPr>
        <w:t>News-Medical.Net</w:t>
      </w:r>
      <w:r w:rsidR="000D5279">
        <w:rPr>
          <w:rFonts w:cs="Segoe UI"/>
        </w:rPr>
        <w:t>.</w:t>
      </w:r>
      <w:r w:rsidRPr="000D5279">
        <w:rPr>
          <w:rFonts w:cs="Segoe UI"/>
        </w:rPr>
        <w:t xml:space="preserve"> (2007).</w:t>
      </w:r>
      <w:proofErr w:type="gramEnd"/>
      <w:r w:rsidRPr="000D5279">
        <w:rPr>
          <w:rFonts w:cs="Segoe UI"/>
        </w:rPr>
        <w:t xml:space="preserve"> </w:t>
      </w:r>
      <w:proofErr w:type="gramStart"/>
      <w:r w:rsidRPr="000D5279">
        <w:rPr>
          <w:rFonts w:cs="Segoe UI"/>
        </w:rPr>
        <w:t>Strokes role in Alzheimer’s disease.</w:t>
      </w:r>
      <w:proofErr w:type="gramEnd"/>
      <w:r w:rsidRPr="000D5279">
        <w:rPr>
          <w:rFonts w:cs="Segoe UI"/>
        </w:rPr>
        <w:t xml:space="preserve"> Retrieved </w:t>
      </w:r>
      <w:r w:rsidR="000D5279">
        <w:rPr>
          <w:rFonts w:cs="Segoe UI"/>
        </w:rPr>
        <w:t>January 27</w:t>
      </w:r>
      <w:r w:rsidR="000D5279" w:rsidRPr="000D5279">
        <w:rPr>
          <w:rFonts w:cs="Segoe UI"/>
          <w:vertAlign w:val="superscript"/>
        </w:rPr>
        <w:t>th</w:t>
      </w:r>
      <w:r w:rsidR="000D5279">
        <w:rPr>
          <w:rFonts w:cs="Segoe UI"/>
        </w:rPr>
        <w:t xml:space="preserve"> </w:t>
      </w:r>
      <w:r w:rsidRPr="000D5279">
        <w:rPr>
          <w:rFonts w:cs="Segoe UI"/>
        </w:rPr>
        <w:t>from</w:t>
      </w:r>
    </w:p>
    <w:p w:rsidR="008F0886" w:rsidRPr="000D5279" w:rsidRDefault="000633BC" w:rsidP="008F0886">
      <w:pPr>
        <w:spacing w:line="240" w:lineRule="auto"/>
        <w:rPr>
          <w:rFonts w:cs="Segoe UI"/>
        </w:rPr>
      </w:pPr>
      <w:r w:rsidRPr="000D5279">
        <w:rPr>
          <w:rFonts w:cs="Segoe UI"/>
        </w:rPr>
        <w:tab/>
        <w:t>h</w:t>
      </w:r>
      <w:r w:rsidR="008F0886" w:rsidRPr="000D5279">
        <w:rPr>
          <w:rFonts w:cs="Segoe UI"/>
        </w:rPr>
        <w:t>tpp://www.news-medical.net/?id=26161.</w:t>
      </w:r>
    </w:p>
    <w:p w:rsidR="00F43674" w:rsidRPr="000D5279" w:rsidRDefault="00E92614" w:rsidP="00DC4957">
      <w:pPr>
        <w:spacing w:line="240" w:lineRule="auto"/>
        <w:rPr>
          <w:rFonts w:cs="Segoe UI"/>
        </w:rPr>
      </w:pPr>
      <w:proofErr w:type="spellStart"/>
      <w:r w:rsidRPr="000D5279">
        <w:rPr>
          <w:rFonts w:cs="Segoe UI"/>
        </w:rPr>
        <w:t>Nowack</w:t>
      </w:r>
      <w:proofErr w:type="spellEnd"/>
      <w:r w:rsidRPr="000D5279">
        <w:rPr>
          <w:rFonts w:cs="Segoe UI"/>
        </w:rPr>
        <w:t>, W.</w:t>
      </w:r>
      <w:r w:rsidR="000D5279">
        <w:rPr>
          <w:rFonts w:cs="Segoe UI"/>
        </w:rPr>
        <w:t xml:space="preserve"> </w:t>
      </w:r>
      <w:r w:rsidRPr="000D5279">
        <w:rPr>
          <w:rFonts w:cs="Segoe UI"/>
        </w:rPr>
        <w:t xml:space="preserve">J. (2006). First </w:t>
      </w:r>
      <w:r w:rsidR="000D5279">
        <w:rPr>
          <w:rFonts w:cs="Segoe UI"/>
        </w:rPr>
        <w:t>s</w:t>
      </w:r>
      <w:r w:rsidRPr="000D5279">
        <w:rPr>
          <w:rFonts w:cs="Segoe UI"/>
        </w:rPr>
        <w:t xml:space="preserve">eizure in </w:t>
      </w:r>
      <w:r w:rsidR="000D5279">
        <w:rPr>
          <w:rFonts w:cs="Segoe UI"/>
        </w:rPr>
        <w:t>a</w:t>
      </w:r>
      <w:r w:rsidRPr="000D5279">
        <w:rPr>
          <w:rFonts w:cs="Segoe UI"/>
        </w:rPr>
        <w:t xml:space="preserve">dulthood: Diagnosis and </w:t>
      </w:r>
      <w:r w:rsidR="000D5279">
        <w:rPr>
          <w:rFonts w:cs="Segoe UI"/>
        </w:rPr>
        <w:t>t</w:t>
      </w:r>
      <w:r w:rsidRPr="000D5279">
        <w:rPr>
          <w:rFonts w:cs="Segoe UI"/>
        </w:rPr>
        <w:t>reatment. Retri</w:t>
      </w:r>
      <w:r w:rsidR="00E342A6" w:rsidRPr="000D5279">
        <w:rPr>
          <w:rFonts w:cs="Segoe UI"/>
        </w:rPr>
        <w:t>e</w:t>
      </w:r>
      <w:r w:rsidRPr="000D5279">
        <w:rPr>
          <w:rFonts w:cs="Segoe UI"/>
        </w:rPr>
        <w:t>ved</w:t>
      </w:r>
      <w:r w:rsidR="00F43674" w:rsidRPr="000D5279">
        <w:rPr>
          <w:rFonts w:cs="Segoe UI"/>
        </w:rPr>
        <w:t xml:space="preserve"> January 26th 2009</w:t>
      </w:r>
      <w:r w:rsidRPr="000D5279">
        <w:rPr>
          <w:rFonts w:cs="Segoe UI"/>
        </w:rPr>
        <w:t xml:space="preserve"> </w:t>
      </w:r>
    </w:p>
    <w:p w:rsidR="00E92614" w:rsidRPr="000D5279" w:rsidRDefault="00E92614" w:rsidP="00E342A6">
      <w:pPr>
        <w:spacing w:line="240" w:lineRule="auto"/>
        <w:ind w:firstLine="720"/>
        <w:rPr>
          <w:rFonts w:cs="Segoe UI"/>
        </w:rPr>
      </w:pPr>
      <w:proofErr w:type="gramStart"/>
      <w:r w:rsidRPr="000D5279">
        <w:rPr>
          <w:rFonts w:cs="Segoe UI"/>
        </w:rPr>
        <w:t xml:space="preserve">from </w:t>
      </w:r>
      <w:r w:rsidR="00F43674" w:rsidRPr="000D5279">
        <w:rPr>
          <w:rFonts w:cs="Segoe UI"/>
        </w:rPr>
        <w:t xml:space="preserve"> </w:t>
      </w:r>
      <w:r w:rsidR="00E342A6" w:rsidRPr="000D5279">
        <w:rPr>
          <w:rFonts w:cs="Segoe UI"/>
        </w:rPr>
        <w:t>http</w:t>
      </w:r>
      <w:proofErr w:type="gramEnd"/>
      <w:r w:rsidR="00E342A6" w:rsidRPr="000D5279">
        <w:rPr>
          <w:rFonts w:cs="Segoe UI"/>
        </w:rPr>
        <w:t>://emedicine.medscape.com/article/1186214-overview.</w:t>
      </w:r>
    </w:p>
    <w:p w:rsidR="00BB57CD" w:rsidRPr="000D5279" w:rsidRDefault="00BB57CD" w:rsidP="00DC4957">
      <w:pPr>
        <w:spacing w:line="240" w:lineRule="auto"/>
        <w:rPr>
          <w:rFonts w:cs="Segoe UI"/>
        </w:rPr>
      </w:pPr>
      <w:proofErr w:type="spellStart"/>
      <w:proofErr w:type="gramStart"/>
      <w:r w:rsidRPr="000D5279">
        <w:rPr>
          <w:rFonts w:cs="Segoe UI"/>
        </w:rPr>
        <w:t>Parihar</w:t>
      </w:r>
      <w:proofErr w:type="spellEnd"/>
      <w:r w:rsidRPr="000D5279">
        <w:rPr>
          <w:rFonts w:cs="Segoe UI"/>
        </w:rPr>
        <w:t>, M.</w:t>
      </w:r>
      <w:r w:rsidR="000D5279">
        <w:rPr>
          <w:rFonts w:cs="Segoe UI"/>
        </w:rPr>
        <w:t xml:space="preserve"> </w:t>
      </w:r>
      <w:r w:rsidRPr="000D5279">
        <w:rPr>
          <w:rFonts w:cs="Segoe UI"/>
        </w:rPr>
        <w:t xml:space="preserve">S., &amp; </w:t>
      </w:r>
      <w:proofErr w:type="spellStart"/>
      <w:r w:rsidRPr="000D5279">
        <w:rPr>
          <w:rFonts w:cs="Segoe UI"/>
        </w:rPr>
        <w:t>Hemnani</w:t>
      </w:r>
      <w:proofErr w:type="spellEnd"/>
      <w:r w:rsidRPr="000D5279">
        <w:rPr>
          <w:rFonts w:cs="Segoe UI"/>
        </w:rPr>
        <w:t>, T. (2004).</w:t>
      </w:r>
      <w:proofErr w:type="gramEnd"/>
      <w:r w:rsidRPr="000D5279">
        <w:rPr>
          <w:rFonts w:cs="Segoe UI"/>
        </w:rPr>
        <w:t xml:space="preserve"> </w:t>
      </w:r>
      <w:proofErr w:type="gramStart"/>
      <w:r w:rsidRPr="000D5279">
        <w:rPr>
          <w:rFonts w:cs="Segoe UI"/>
        </w:rPr>
        <w:t>Alzheimer’s disease pathogenesis and therapeutic interventions.</w:t>
      </w:r>
      <w:proofErr w:type="gramEnd"/>
      <w:r w:rsidRPr="000D5279">
        <w:rPr>
          <w:rFonts w:cs="Segoe UI"/>
        </w:rPr>
        <w:t xml:space="preserve"> </w:t>
      </w:r>
    </w:p>
    <w:p w:rsidR="00BB57CD" w:rsidRPr="000D5279" w:rsidRDefault="00BB57CD" w:rsidP="00DC4957">
      <w:pPr>
        <w:spacing w:line="240" w:lineRule="auto"/>
        <w:ind w:firstLine="720"/>
        <w:rPr>
          <w:rFonts w:cs="Segoe UI"/>
        </w:rPr>
      </w:pPr>
      <w:r w:rsidRPr="000D5279">
        <w:rPr>
          <w:rFonts w:cs="Segoe UI"/>
          <w:i/>
        </w:rPr>
        <w:t>Journal of Clinical Neuroscience, 11</w:t>
      </w:r>
      <w:r w:rsidRPr="000D5279">
        <w:rPr>
          <w:rFonts w:cs="Segoe UI"/>
        </w:rPr>
        <w:t>(5)</w:t>
      </w:r>
      <w:r w:rsidR="000D5279">
        <w:rPr>
          <w:rFonts w:cs="Segoe UI"/>
        </w:rPr>
        <w:t xml:space="preserve">, </w:t>
      </w:r>
      <w:r w:rsidRPr="000D5279">
        <w:rPr>
          <w:rFonts w:cs="Segoe UI"/>
        </w:rPr>
        <w:t>456-467.</w:t>
      </w:r>
    </w:p>
    <w:p w:rsidR="008F0886" w:rsidRPr="000D5279" w:rsidRDefault="008F0886" w:rsidP="008F0886">
      <w:pPr>
        <w:spacing w:line="240" w:lineRule="auto"/>
        <w:rPr>
          <w:rFonts w:cs="Segoe UI"/>
        </w:rPr>
      </w:pPr>
      <w:r w:rsidRPr="000D5279">
        <w:rPr>
          <w:rFonts w:cs="Segoe UI"/>
        </w:rPr>
        <w:t>Rudd</w:t>
      </w:r>
      <w:proofErr w:type="gramStart"/>
      <w:r w:rsidR="000D5279">
        <w:rPr>
          <w:rFonts w:cs="Segoe UI"/>
        </w:rPr>
        <w:t xml:space="preserve">, </w:t>
      </w:r>
      <w:r w:rsidR="00B55DBF" w:rsidRPr="000D5279">
        <w:rPr>
          <w:rFonts w:cs="Segoe UI"/>
        </w:rPr>
        <w:t xml:space="preserve"> </w:t>
      </w:r>
      <w:r w:rsidRPr="000D5279">
        <w:rPr>
          <w:rFonts w:cs="Segoe UI"/>
        </w:rPr>
        <w:t>(</w:t>
      </w:r>
      <w:proofErr w:type="gramEnd"/>
      <w:r w:rsidRPr="000D5279">
        <w:rPr>
          <w:rFonts w:cs="Segoe UI"/>
        </w:rPr>
        <w:t xml:space="preserve">2002). </w:t>
      </w:r>
      <w:proofErr w:type="gramStart"/>
      <w:r w:rsidRPr="000D5279">
        <w:rPr>
          <w:rFonts w:cs="Segoe UI"/>
        </w:rPr>
        <w:t>Aetiology and pathology of stroke.</w:t>
      </w:r>
      <w:proofErr w:type="gramEnd"/>
      <w:r w:rsidRPr="000D5279">
        <w:rPr>
          <w:rFonts w:cs="Segoe UI"/>
        </w:rPr>
        <w:t xml:space="preserve"> Retrieved January 26</w:t>
      </w:r>
      <w:r w:rsidR="00B55DBF" w:rsidRPr="000D5279">
        <w:rPr>
          <w:rFonts w:cs="Segoe UI"/>
        </w:rPr>
        <w:t xml:space="preserve">th </w:t>
      </w:r>
      <w:r w:rsidRPr="000D5279">
        <w:rPr>
          <w:rFonts w:cs="Segoe UI"/>
        </w:rPr>
        <w:t>2009 from</w:t>
      </w:r>
    </w:p>
    <w:p w:rsidR="008F0886" w:rsidRPr="000D5279" w:rsidRDefault="008F0886" w:rsidP="008F0886">
      <w:pPr>
        <w:spacing w:line="240" w:lineRule="auto"/>
        <w:ind w:firstLine="720"/>
        <w:rPr>
          <w:rFonts w:cs="Segoe UI"/>
        </w:rPr>
      </w:pPr>
      <w:r w:rsidRPr="000D5279">
        <w:rPr>
          <w:rFonts w:cs="Segoe UI"/>
        </w:rPr>
        <w:t>htpp://www.pharmj.com/pdf/hp/200202/hp_200202_stroke1.pdf.</w:t>
      </w:r>
    </w:p>
    <w:p w:rsidR="00BB57CD" w:rsidRPr="000D5279" w:rsidRDefault="00DA7E40" w:rsidP="00DC4957">
      <w:pPr>
        <w:spacing w:line="240" w:lineRule="auto"/>
        <w:rPr>
          <w:rFonts w:cs="Segoe UI"/>
        </w:rPr>
      </w:pPr>
      <w:proofErr w:type="spellStart"/>
      <w:proofErr w:type="gramStart"/>
      <w:r w:rsidRPr="000D5279">
        <w:rPr>
          <w:rFonts w:cs="Segoe UI"/>
        </w:rPr>
        <w:t>Smeltzer</w:t>
      </w:r>
      <w:proofErr w:type="spellEnd"/>
      <w:r w:rsidRPr="000D5279">
        <w:rPr>
          <w:rFonts w:cs="Segoe UI"/>
        </w:rPr>
        <w:t>, S.</w:t>
      </w:r>
      <w:r w:rsidR="000D5279">
        <w:rPr>
          <w:rFonts w:cs="Segoe UI"/>
        </w:rPr>
        <w:t xml:space="preserve"> </w:t>
      </w:r>
      <w:r w:rsidRPr="000D5279">
        <w:rPr>
          <w:rFonts w:cs="Segoe UI"/>
        </w:rPr>
        <w:t>C., &amp; Bare, B.</w:t>
      </w:r>
      <w:r w:rsidR="000D5279">
        <w:rPr>
          <w:rFonts w:cs="Segoe UI"/>
        </w:rPr>
        <w:t xml:space="preserve"> </w:t>
      </w:r>
      <w:r w:rsidRPr="000D5279">
        <w:rPr>
          <w:rFonts w:cs="Segoe UI"/>
        </w:rPr>
        <w:t>G. (2000).</w:t>
      </w:r>
      <w:proofErr w:type="gramEnd"/>
      <w:r w:rsidRPr="000D5279">
        <w:rPr>
          <w:rFonts w:cs="Segoe UI"/>
        </w:rPr>
        <w:t xml:space="preserve"> Brunner &amp; </w:t>
      </w:r>
      <w:proofErr w:type="spellStart"/>
      <w:r w:rsidRPr="000D5279">
        <w:rPr>
          <w:rFonts w:cs="Segoe UI"/>
        </w:rPr>
        <w:t>Suddarth’s</w:t>
      </w:r>
      <w:proofErr w:type="spellEnd"/>
      <w:r w:rsidRPr="000D5279">
        <w:rPr>
          <w:rFonts w:cs="Segoe UI"/>
        </w:rPr>
        <w:t xml:space="preserve"> </w:t>
      </w:r>
      <w:r w:rsidR="000D5279">
        <w:rPr>
          <w:rFonts w:cs="Segoe UI"/>
        </w:rPr>
        <w:t>t</w:t>
      </w:r>
      <w:r w:rsidRPr="000D5279">
        <w:rPr>
          <w:rFonts w:cs="Segoe UI"/>
        </w:rPr>
        <w:t xml:space="preserve">extbook of </w:t>
      </w:r>
      <w:r w:rsidR="000D5279">
        <w:rPr>
          <w:rFonts w:cs="Segoe UI"/>
        </w:rPr>
        <w:t>m</w:t>
      </w:r>
      <w:r w:rsidRPr="000D5279">
        <w:rPr>
          <w:rFonts w:cs="Segoe UI"/>
        </w:rPr>
        <w:t>edical-</w:t>
      </w:r>
      <w:r w:rsidR="000D5279">
        <w:rPr>
          <w:rFonts w:cs="Segoe UI"/>
        </w:rPr>
        <w:t>s</w:t>
      </w:r>
      <w:r w:rsidRPr="000D5279">
        <w:rPr>
          <w:rFonts w:cs="Segoe UI"/>
        </w:rPr>
        <w:t xml:space="preserve">urgical </w:t>
      </w:r>
      <w:r w:rsidR="000D5279">
        <w:rPr>
          <w:rFonts w:cs="Segoe UI"/>
        </w:rPr>
        <w:t>n</w:t>
      </w:r>
      <w:r w:rsidRPr="000D5279">
        <w:rPr>
          <w:rFonts w:cs="Segoe UI"/>
        </w:rPr>
        <w:t xml:space="preserve">ursing (9th </w:t>
      </w:r>
      <w:proofErr w:type="gramStart"/>
      <w:r w:rsidRPr="000D5279">
        <w:rPr>
          <w:rFonts w:cs="Segoe UI"/>
        </w:rPr>
        <w:t>ed</w:t>
      </w:r>
      <w:proofErr w:type="gramEnd"/>
      <w:r w:rsidRPr="000D5279">
        <w:rPr>
          <w:rFonts w:cs="Segoe UI"/>
        </w:rPr>
        <w:t xml:space="preserve">.). </w:t>
      </w:r>
    </w:p>
    <w:p w:rsidR="00DA7E40" w:rsidRPr="000D5279" w:rsidRDefault="000D5279" w:rsidP="00DC4957">
      <w:pPr>
        <w:spacing w:line="240" w:lineRule="auto"/>
        <w:ind w:firstLine="720"/>
        <w:rPr>
          <w:rFonts w:cs="Segoe UI"/>
        </w:rPr>
      </w:pPr>
      <w:r w:rsidRPr="000D5279">
        <w:rPr>
          <w:rFonts w:cs="Segoe UI"/>
        </w:rPr>
        <w:t>Philadelphia</w:t>
      </w:r>
      <w:r>
        <w:rPr>
          <w:rFonts w:cs="Segoe UI"/>
        </w:rPr>
        <w:t>, PA: Lippincott Williams &amp; Wilkins.</w:t>
      </w:r>
    </w:p>
    <w:p w:rsidR="00262C67" w:rsidRPr="00E92614" w:rsidRDefault="00262C67" w:rsidP="00DC4957">
      <w:pPr>
        <w:spacing w:line="240" w:lineRule="auto"/>
      </w:pPr>
    </w:p>
    <w:sectPr w:rsidR="00262C67" w:rsidRPr="00E92614" w:rsidSect="00FA02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A41"/>
    <w:multiLevelType w:val="hybridMultilevel"/>
    <w:tmpl w:val="3B208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954C6F"/>
    <w:multiLevelType w:val="multilevel"/>
    <w:tmpl w:val="1B8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74CE4"/>
    <w:multiLevelType w:val="multilevel"/>
    <w:tmpl w:val="3C0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304EE1"/>
    <w:multiLevelType w:val="hybridMultilevel"/>
    <w:tmpl w:val="A5A07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F5036"/>
    <w:rsid w:val="00021521"/>
    <w:rsid w:val="00047E92"/>
    <w:rsid w:val="000633BC"/>
    <w:rsid w:val="000A45A2"/>
    <w:rsid w:val="000D5279"/>
    <w:rsid w:val="00133E69"/>
    <w:rsid w:val="00163320"/>
    <w:rsid w:val="0016555E"/>
    <w:rsid w:val="00262C67"/>
    <w:rsid w:val="002C76D7"/>
    <w:rsid w:val="002E2F0A"/>
    <w:rsid w:val="003837B6"/>
    <w:rsid w:val="003876A6"/>
    <w:rsid w:val="003C1D0B"/>
    <w:rsid w:val="003E4128"/>
    <w:rsid w:val="00402884"/>
    <w:rsid w:val="004521B9"/>
    <w:rsid w:val="004F5036"/>
    <w:rsid w:val="00564E45"/>
    <w:rsid w:val="005F2688"/>
    <w:rsid w:val="00636334"/>
    <w:rsid w:val="00646612"/>
    <w:rsid w:val="0065600F"/>
    <w:rsid w:val="006B700A"/>
    <w:rsid w:val="007270E4"/>
    <w:rsid w:val="007D2C66"/>
    <w:rsid w:val="007D30F8"/>
    <w:rsid w:val="00833FDF"/>
    <w:rsid w:val="00855111"/>
    <w:rsid w:val="00886855"/>
    <w:rsid w:val="008F0886"/>
    <w:rsid w:val="009B7603"/>
    <w:rsid w:val="00A35158"/>
    <w:rsid w:val="00A955E5"/>
    <w:rsid w:val="00AB0D3B"/>
    <w:rsid w:val="00AC7EA5"/>
    <w:rsid w:val="00AE5036"/>
    <w:rsid w:val="00B55DBF"/>
    <w:rsid w:val="00BB57CD"/>
    <w:rsid w:val="00C07101"/>
    <w:rsid w:val="00C748D2"/>
    <w:rsid w:val="00C95073"/>
    <w:rsid w:val="00CB5021"/>
    <w:rsid w:val="00CE2EF4"/>
    <w:rsid w:val="00D45393"/>
    <w:rsid w:val="00D70034"/>
    <w:rsid w:val="00D70B6D"/>
    <w:rsid w:val="00DA7E40"/>
    <w:rsid w:val="00DC4957"/>
    <w:rsid w:val="00E05739"/>
    <w:rsid w:val="00E342A6"/>
    <w:rsid w:val="00E92614"/>
    <w:rsid w:val="00F43674"/>
    <w:rsid w:val="00F611FF"/>
    <w:rsid w:val="00FA02E5"/>
    <w:rsid w:val="00FD11E6"/>
    <w:rsid w:val="00FE1F1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5"/>
  </w:style>
  <w:style w:type="paragraph" w:styleId="Heading1">
    <w:name w:val="heading 1"/>
    <w:basedOn w:val="Normal"/>
    <w:link w:val="Heading1Char"/>
    <w:uiPriority w:val="9"/>
    <w:qFormat/>
    <w:rsid w:val="00E92614"/>
    <w:pPr>
      <w:spacing w:after="75" w:line="264" w:lineRule="auto"/>
      <w:outlineLvl w:val="0"/>
    </w:pPr>
    <w:rPr>
      <w:rFonts w:ascii="Times New Roman" w:eastAsia="Times New Roman" w:hAnsi="Times New Roman" w:cs="Times New Roman"/>
      <w:color w:val="000000"/>
      <w:kern w:val="36"/>
      <w:sz w:val="39"/>
      <w:szCs w:val="39"/>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6D"/>
    <w:rPr>
      <w:rFonts w:ascii="Tahoma" w:hAnsi="Tahoma" w:cs="Tahoma"/>
      <w:sz w:val="16"/>
      <w:szCs w:val="16"/>
    </w:rPr>
  </w:style>
  <w:style w:type="table" w:styleId="TableGrid">
    <w:name w:val="Table Grid"/>
    <w:basedOn w:val="TableNormal"/>
    <w:uiPriority w:val="59"/>
    <w:rsid w:val="00163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iliation2">
    <w:name w:val="affiliation2"/>
    <w:basedOn w:val="Normal"/>
    <w:rsid w:val="00D70034"/>
    <w:pPr>
      <w:spacing w:before="240" w:after="120" w:line="288" w:lineRule="atLeast"/>
      <w:ind w:left="120"/>
    </w:pPr>
    <w:rPr>
      <w:rFonts w:ascii="Times New Roman" w:eastAsia="Times New Roman" w:hAnsi="Times New Roman" w:cs="Times New Roman"/>
      <w:sz w:val="19"/>
      <w:szCs w:val="19"/>
      <w:lang w:eastAsia="en-CA"/>
    </w:rPr>
  </w:style>
  <w:style w:type="paragraph" w:styleId="ListParagraph">
    <w:name w:val="List Paragraph"/>
    <w:basedOn w:val="Normal"/>
    <w:uiPriority w:val="34"/>
    <w:qFormat/>
    <w:rsid w:val="003876A6"/>
    <w:pPr>
      <w:ind w:left="720"/>
      <w:contextualSpacing/>
    </w:pPr>
  </w:style>
  <w:style w:type="character" w:styleId="Hyperlink">
    <w:name w:val="Hyperlink"/>
    <w:basedOn w:val="DefaultParagraphFont"/>
    <w:uiPriority w:val="99"/>
    <w:unhideWhenUsed/>
    <w:rsid w:val="00BB57CD"/>
    <w:rPr>
      <w:color w:val="0000FF"/>
      <w:u w:val="single"/>
    </w:rPr>
  </w:style>
  <w:style w:type="character" w:customStyle="1" w:styleId="ti2">
    <w:name w:val="ti2"/>
    <w:basedOn w:val="DefaultParagraphFont"/>
    <w:rsid w:val="00BB57CD"/>
    <w:rPr>
      <w:sz w:val="22"/>
      <w:szCs w:val="22"/>
    </w:rPr>
  </w:style>
  <w:style w:type="character" w:customStyle="1" w:styleId="featuredlinkouts">
    <w:name w:val="featured_linkouts"/>
    <w:basedOn w:val="DefaultParagraphFont"/>
    <w:rsid w:val="00BB57CD"/>
  </w:style>
  <w:style w:type="character" w:customStyle="1" w:styleId="linkbar">
    <w:name w:val="linkbar"/>
    <w:basedOn w:val="DefaultParagraphFont"/>
    <w:rsid w:val="00BB57CD"/>
  </w:style>
  <w:style w:type="character" w:customStyle="1" w:styleId="Heading1Char">
    <w:name w:val="Heading 1 Char"/>
    <w:basedOn w:val="DefaultParagraphFont"/>
    <w:link w:val="Heading1"/>
    <w:uiPriority w:val="9"/>
    <w:rsid w:val="00E92614"/>
    <w:rPr>
      <w:rFonts w:ascii="Times New Roman" w:eastAsia="Times New Roman" w:hAnsi="Times New Roman" w:cs="Times New Roman"/>
      <w:color w:val="000000"/>
      <w:kern w:val="36"/>
      <w:sz w:val="39"/>
      <w:szCs w:val="39"/>
      <w:lang w:eastAsia="en-CA"/>
    </w:rPr>
  </w:style>
  <w:style w:type="paragraph" w:styleId="NormalWeb">
    <w:name w:val="Normal (Web)"/>
    <w:basedOn w:val="Normal"/>
    <w:uiPriority w:val="99"/>
    <w:unhideWhenUsed/>
    <w:rsid w:val="00E92614"/>
    <w:pPr>
      <w:spacing w:after="324"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92614"/>
    <w:rPr>
      <w:b/>
      <w:bCs/>
    </w:rPr>
  </w:style>
  <w:style w:type="paragraph" w:customStyle="1" w:styleId="sidetable">
    <w:name w:val="sidetable"/>
    <w:basedOn w:val="Normal"/>
    <w:rsid w:val="00F611FF"/>
    <w:pPr>
      <w:spacing w:after="90" w:line="300" w:lineRule="atLeast"/>
    </w:pPr>
    <w:rPr>
      <w:rFonts w:ascii="Verdana" w:eastAsia="Times New Roman" w:hAnsi="Verdana" w:cs="Arial"/>
      <w:color w:val="666666"/>
      <w:sz w:val="15"/>
      <w:szCs w:val="15"/>
      <w:lang w:eastAsia="en-CA"/>
    </w:rPr>
  </w:style>
  <w:style w:type="character" w:customStyle="1" w:styleId="mmpopup1">
    <w:name w:val="mmpopup1"/>
    <w:basedOn w:val="DefaultParagraphFont"/>
    <w:rsid w:val="00F611FF"/>
    <w:rPr>
      <w:b w:val="0"/>
      <w:bCs w:val="0"/>
      <w:caps/>
      <w:color w:val="666666"/>
      <w:sz w:val="15"/>
      <w:szCs w:val="15"/>
      <w:bdr w:val="single" w:sz="6" w:space="0" w:color="CCCCCC" w:frame="1"/>
      <w:shd w:val="clear" w:color="auto" w:fill="FFFFFF"/>
    </w:rPr>
  </w:style>
  <w:style w:type="character" w:customStyle="1" w:styleId="mmlabel1">
    <w:name w:val="mmlabel1"/>
    <w:basedOn w:val="DefaultParagraphFont"/>
    <w:rsid w:val="00F611FF"/>
    <w:rPr>
      <w:color w:val="A1A1A1"/>
    </w:rPr>
  </w:style>
  <w:style w:type="character" w:customStyle="1" w:styleId="mmdrugterm">
    <w:name w:val="mmdrugterm"/>
    <w:basedOn w:val="DefaultParagraphFont"/>
    <w:rsid w:val="00F611FF"/>
  </w:style>
</w:styles>
</file>

<file path=word/webSettings.xml><?xml version="1.0" encoding="utf-8"?>
<w:webSettings xmlns:r="http://schemas.openxmlformats.org/officeDocument/2006/relationships" xmlns:w="http://schemas.openxmlformats.org/wordprocessingml/2006/main">
  <w:divs>
    <w:div w:id="19861303">
      <w:bodyDiv w:val="1"/>
      <w:marLeft w:val="0"/>
      <w:marRight w:val="0"/>
      <w:marTop w:val="0"/>
      <w:marBottom w:val="0"/>
      <w:divBdr>
        <w:top w:val="none" w:sz="0" w:space="0" w:color="auto"/>
        <w:left w:val="none" w:sz="0" w:space="0" w:color="auto"/>
        <w:bottom w:val="none" w:sz="0" w:space="0" w:color="auto"/>
        <w:right w:val="none" w:sz="0" w:space="0" w:color="auto"/>
      </w:divBdr>
      <w:divsChild>
        <w:div w:id="293829280">
          <w:marLeft w:val="120"/>
          <w:marRight w:val="120"/>
          <w:marTop w:val="0"/>
          <w:marBottom w:val="0"/>
          <w:divBdr>
            <w:top w:val="none" w:sz="0" w:space="0" w:color="auto"/>
            <w:left w:val="none" w:sz="0" w:space="0" w:color="auto"/>
            <w:bottom w:val="none" w:sz="0" w:space="0" w:color="auto"/>
            <w:right w:val="none" w:sz="0" w:space="0" w:color="auto"/>
          </w:divBdr>
          <w:divsChild>
            <w:div w:id="1596592680">
              <w:marLeft w:val="0"/>
              <w:marRight w:val="0"/>
              <w:marTop w:val="0"/>
              <w:marBottom w:val="0"/>
              <w:divBdr>
                <w:top w:val="none" w:sz="0" w:space="0" w:color="auto"/>
                <w:left w:val="none" w:sz="0" w:space="0" w:color="auto"/>
                <w:bottom w:val="none" w:sz="0" w:space="0" w:color="auto"/>
                <w:right w:val="none" w:sz="0" w:space="0" w:color="auto"/>
              </w:divBdr>
              <w:divsChild>
                <w:div w:id="1271015639">
                  <w:marLeft w:val="0"/>
                  <w:marRight w:val="0"/>
                  <w:marTop w:val="72"/>
                  <w:marBottom w:val="0"/>
                  <w:divBdr>
                    <w:top w:val="none" w:sz="0" w:space="0" w:color="auto"/>
                    <w:left w:val="none" w:sz="0" w:space="0" w:color="auto"/>
                    <w:bottom w:val="none" w:sz="0" w:space="0" w:color="auto"/>
                    <w:right w:val="none" w:sz="0" w:space="0" w:color="auto"/>
                  </w:divBdr>
                  <w:divsChild>
                    <w:div w:id="1886483509">
                      <w:marLeft w:val="0"/>
                      <w:marRight w:val="0"/>
                      <w:marTop w:val="0"/>
                      <w:marBottom w:val="0"/>
                      <w:divBdr>
                        <w:top w:val="none" w:sz="0" w:space="0" w:color="auto"/>
                        <w:left w:val="none" w:sz="0" w:space="0" w:color="auto"/>
                        <w:bottom w:val="none" w:sz="0" w:space="0" w:color="auto"/>
                        <w:right w:val="none" w:sz="0" w:space="0" w:color="auto"/>
                      </w:divBdr>
                      <w:divsChild>
                        <w:div w:id="1056583659">
                          <w:marLeft w:val="0"/>
                          <w:marRight w:val="0"/>
                          <w:marTop w:val="240"/>
                          <w:marBottom w:val="0"/>
                          <w:divBdr>
                            <w:top w:val="none" w:sz="0" w:space="0" w:color="auto"/>
                            <w:left w:val="none" w:sz="0" w:space="0" w:color="auto"/>
                            <w:bottom w:val="none" w:sz="0" w:space="0" w:color="auto"/>
                            <w:right w:val="none" w:sz="0" w:space="0" w:color="auto"/>
                          </w:divBdr>
                          <w:divsChild>
                            <w:div w:id="183121699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24692">
      <w:bodyDiv w:val="1"/>
      <w:marLeft w:val="0"/>
      <w:marRight w:val="0"/>
      <w:marTop w:val="0"/>
      <w:marBottom w:val="0"/>
      <w:divBdr>
        <w:top w:val="none" w:sz="0" w:space="0" w:color="auto"/>
        <w:left w:val="none" w:sz="0" w:space="0" w:color="auto"/>
        <w:bottom w:val="none" w:sz="0" w:space="0" w:color="auto"/>
        <w:right w:val="none" w:sz="0" w:space="0" w:color="auto"/>
      </w:divBdr>
      <w:divsChild>
        <w:div w:id="715856275">
          <w:marLeft w:val="0"/>
          <w:marRight w:val="0"/>
          <w:marTop w:val="0"/>
          <w:marBottom w:val="0"/>
          <w:divBdr>
            <w:top w:val="none" w:sz="0" w:space="0" w:color="auto"/>
            <w:left w:val="none" w:sz="0" w:space="0" w:color="auto"/>
            <w:bottom w:val="none" w:sz="0" w:space="0" w:color="auto"/>
            <w:right w:val="none" w:sz="0" w:space="0" w:color="auto"/>
          </w:divBdr>
          <w:divsChild>
            <w:div w:id="1972318669">
              <w:marLeft w:val="0"/>
              <w:marRight w:val="0"/>
              <w:marTop w:val="0"/>
              <w:marBottom w:val="0"/>
              <w:divBdr>
                <w:top w:val="none" w:sz="0" w:space="0" w:color="auto"/>
                <w:left w:val="none" w:sz="0" w:space="0" w:color="auto"/>
                <w:bottom w:val="none" w:sz="0" w:space="0" w:color="auto"/>
                <w:right w:val="none" w:sz="0" w:space="0" w:color="auto"/>
              </w:divBdr>
              <w:divsChild>
                <w:div w:id="1262646243">
                  <w:marLeft w:val="0"/>
                  <w:marRight w:val="0"/>
                  <w:marTop w:val="0"/>
                  <w:marBottom w:val="0"/>
                  <w:divBdr>
                    <w:top w:val="none" w:sz="0" w:space="0" w:color="auto"/>
                    <w:left w:val="none" w:sz="0" w:space="0" w:color="auto"/>
                    <w:bottom w:val="none" w:sz="0" w:space="0" w:color="auto"/>
                    <w:right w:val="none" w:sz="0" w:space="0" w:color="auto"/>
                  </w:divBdr>
                  <w:divsChild>
                    <w:div w:id="9845489">
                      <w:marLeft w:val="0"/>
                      <w:marRight w:val="0"/>
                      <w:marTop w:val="0"/>
                      <w:marBottom w:val="0"/>
                      <w:divBdr>
                        <w:top w:val="none" w:sz="0" w:space="0" w:color="auto"/>
                        <w:left w:val="none" w:sz="0" w:space="0" w:color="auto"/>
                        <w:bottom w:val="none" w:sz="0" w:space="0" w:color="auto"/>
                        <w:right w:val="none" w:sz="0" w:space="0" w:color="auto"/>
                      </w:divBdr>
                      <w:divsChild>
                        <w:div w:id="740324977">
                          <w:marLeft w:val="0"/>
                          <w:marRight w:val="0"/>
                          <w:marTop w:val="0"/>
                          <w:marBottom w:val="0"/>
                          <w:divBdr>
                            <w:top w:val="none" w:sz="0" w:space="0" w:color="auto"/>
                            <w:left w:val="none" w:sz="0" w:space="0" w:color="auto"/>
                            <w:bottom w:val="none" w:sz="0" w:space="0" w:color="auto"/>
                            <w:right w:val="none" w:sz="0" w:space="0" w:color="auto"/>
                          </w:divBdr>
                          <w:divsChild>
                            <w:div w:id="556169112">
                              <w:marLeft w:val="0"/>
                              <w:marRight w:val="0"/>
                              <w:marTop w:val="0"/>
                              <w:marBottom w:val="0"/>
                              <w:divBdr>
                                <w:top w:val="none" w:sz="0" w:space="0" w:color="auto"/>
                                <w:left w:val="none" w:sz="0" w:space="0" w:color="auto"/>
                                <w:bottom w:val="none" w:sz="0" w:space="0" w:color="auto"/>
                                <w:right w:val="none" w:sz="0" w:space="0" w:color="auto"/>
                              </w:divBdr>
                              <w:divsChild>
                                <w:div w:id="1726835694">
                                  <w:marLeft w:val="0"/>
                                  <w:marRight w:val="0"/>
                                  <w:marTop w:val="0"/>
                                  <w:marBottom w:val="0"/>
                                  <w:divBdr>
                                    <w:top w:val="single" w:sz="6" w:space="0" w:color="CCCCCC"/>
                                    <w:left w:val="single" w:sz="6" w:space="0" w:color="CCCCCC"/>
                                    <w:bottom w:val="single" w:sz="6" w:space="0" w:color="CCCCCC"/>
                                    <w:right w:val="single" w:sz="6" w:space="0" w:color="CCCCCC"/>
                                  </w:divBdr>
                                  <w:divsChild>
                                    <w:div w:id="2099056210">
                                      <w:marLeft w:val="0"/>
                                      <w:marRight w:val="0"/>
                                      <w:marTop w:val="15"/>
                                      <w:marBottom w:val="0"/>
                                      <w:divBdr>
                                        <w:top w:val="none" w:sz="0" w:space="0" w:color="auto"/>
                                        <w:left w:val="none" w:sz="0" w:space="0" w:color="auto"/>
                                        <w:bottom w:val="none" w:sz="0" w:space="0" w:color="auto"/>
                                        <w:right w:val="none" w:sz="0" w:space="0" w:color="auto"/>
                                      </w:divBdr>
                                      <w:divsChild>
                                        <w:div w:id="859274929">
                                          <w:marLeft w:val="0"/>
                                          <w:marRight w:val="0"/>
                                          <w:marTop w:val="0"/>
                                          <w:marBottom w:val="0"/>
                                          <w:divBdr>
                                            <w:top w:val="none" w:sz="0" w:space="0" w:color="auto"/>
                                            <w:left w:val="none" w:sz="0" w:space="0" w:color="auto"/>
                                            <w:bottom w:val="none" w:sz="0" w:space="0" w:color="auto"/>
                                            <w:right w:val="none" w:sz="0" w:space="0" w:color="auto"/>
                                          </w:divBdr>
                                          <w:divsChild>
                                            <w:div w:id="2036037878">
                                              <w:marLeft w:val="0"/>
                                              <w:marRight w:val="0"/>
                                              <w:marTop w:val="0"/>
                                              <w:marBottom w:val="0"/>
                                              <w:divBdr>
                                                <w:top w:val="none" w:sz="0" w:space="0" w:color="auto"/>
                                                <w:left w:val="none" w:sz="0" w:space="0" w:color="auto"/>
                                                <w:bottom w:val="none" w:sz="0" w:space="0" w:color="auto"/>
                                                <w:right w:val="none" w:sz="0" w:space="0" w:color="auto"/>
                                              </w:divBdr>
                                              <w:divsChild>
                                                <w:div w:id="1125658577">
                                                  <w:marLeft w:val="0"/>
                                                  <w:marRight w:val="0"/>
                                                  <w:marTop w:val="0"/>
                                                  <w:marBottom w:val="0"/>
                                                  <w:divBdr>
                                                    <w:top w:val="none" w:sz="0" w:space="0" w:color="auto"/>
                                                    <w:left w:val="none" w:sz="0" w:space="0" w:color="auto"/>
                                                    <w:bottom w:val="none" w:sz="0" w:space="0" w:color="auto"/>
                                                    <w:right w:val="none" w:sz="0" w:space="0" w:color="auto"/>
                                                  </w:divBdr>
                                                  <w:divsChild>
                                                    <w:div w:id="10556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36659">
      <w:bodyDiv w:val="1"/>
      <w:marLeft w:val="0"/>
      <w:marRight w:val="0"/>
      <w:marTop w:val="0"/>
      <w:marBottom w:val="0"/>
      <w:divBdr>
        <w:top w:val="none" w:sz="0" w:space="0" w:color="auto"/>
        <w:left w:val="none" w:sz="0" w:space="0" w:color="auto"/>
        <w:bottom w:val="none" w:sz="0" w:space="0" w:color="auto"/>
        <w:right w:val="none" w:sz="0" w:space="0" w:color="auto"/>
      </w:divBdr>
      <w:divsChild>
        <w:div w:id="551312393">
          <w:marLeft w:val="120"/>
          <w:marRight w:val="120"/>
          <w:marTop w:val="0"/>
          <w:marBottom w:val="0"/>
          <w:divBdr>
            <w:top w:val="none" w:sz="0" w:space="0" w:color="auto"/>
            <w:left w:val="none" w:sz="0" w:space="0" w:color="auto"/>
            <w:bottom w:val="none" w:sz="0" w:space="0" w:color="auto"/>
            <w:right w:val="none" w:sz="0" w:space="0" w:color="auto"/>
          </w:divBdr>
          <w:divsChild>
            <w:div w:id="1796413149">
              <w:marLeft w:val="0"/>
              <w:marRight w:val="0"/>
              <w:marTop w:val="0"/>
              <w:marBottom w:val="0"/>
              <w:divBdr>
                <w:top w:val="none" w:sz="0" w:space="0" w:color="auto"/>
                <w:left w:val="none" w:sz="0" w:space="0" w:color="auto"/>
                <w:bottom w:val="none" w:sz="0" w:space="0" w:color="auto"/>
                <w:right w:val="none" w:sz="0" w:space="0" w:color="auto"/>
              </w:divBdr>
              <w:divsChild>
                <w:div w:id="240334911">
                  <w:marLeft w:val="0"/>
                  <w:marRight w:val="0"/>
                  <w:marTop w:val="72"/>
                  <w:marBottom w:val="0"/>
                  <w:divBdr>
                    <w:top w:val="none" w:sz="0" w:space="0" w:color="auto"/>
                    <w:left w:val="none" w:sz="0" w:space="0" w:color="auto"/>
                    <w:bottom w:val="none" w:sz="0" w:space="0" w:color="auto"/>
                    <w:right w:val="none" w:sz="0" w:space="0" w:color="auto"/>
                  </w:divBdr>
                  <w:divsChild>
                    <w:div w:id="2143182855">
                      <w:marLeft w:val="0"/>
                      <w:marRight w:val="0"/>
                      <w:marTop w:val="0"/>
                      <w:marBottom w:val="0"/>
                      <w:divBdr>
                        <w:top w:val="none" w:sz="0" w:space="0" w:color="auto"/>
                        <w:left w:val="none" w:sz="0" w:space="0" w:color="auto"/>
                        <w:bottom w:val="none" w:sz="0" w:space="0" w:color="auto"/>
                        <w:right w:val="none" w:sz="0" w:space="0" w:color="auto"/>
                      </w:divBdr>
                      <w:divsChild>
                        <w:div w:id="1977948318">
                          <w:marLeft w:val="0"/>
                          <w:marRight w:val="0"/>
                          <w:marTop w:val="240"/>
                          <w:marBottom w:val="0"/>
                          <w:divBdr>
                            <w:top w:val="none" w:sz="0" w:space="0" w:color="auto"/>
                            <w:left w:val="none" w:sz="0" w:space="0" w:color="auto"/>
                            <w:bottom w:val="none" w:sz="0" w:space="0" w:color="auto"/>
                            <w:right w:val="none" w:sz="0" w:space="0" w:color="auto"/>
                          </w:divBdr>
                          <w:divsChild>
                            <w:div w:id="1552501191">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47467">
      <w:bodyDiv w:val="1"/>
      <w:marLeft w:val="0"/>
      <w:marRight w:val="0"/>
      <w:marTop w:val="0"/>
      <w:marBottom w:val="0"/>
      <w:divBdr>
        <w:top w:val="none" w:sz="0" w:space="0" w:color="auto"/>
        <w:left w:val="none" w:sz="0" w:space="0" w:color="auto"/>
        <w:bottom w:val="none" w:sz="0" w:space="0" w:color="auto"/>
        <w:right w:val="none" w:sz="0" w:space="0" w:color="auto"/>
      </w:divBdr>
      <w:divsChild>
        <w:div w:id="312148915">
          <w:marLeft w:val="0"/>
          <w:marRight w:val="0"/>
          <w:marTop w:val="0"/>
          <w:marBottom w:val="0"/>
          <w:divBdr>
            <w:top w:val="none" w:sz="0" w:space="0" w:color="auto"/>
            <w:left w:val="none" w:sz="0" w:space="0" w:color="auto"/>
            <w:bottom w:val="none" w:sz="0" w:space="0" w:color="auto"/>
            <w:right w:val="none" w:sz="0" w:space="0" w:color="auto"/>
          </w:divBdr>
          <w:divsChild>
            <w:div w:id="999582594">
              <w:marLeft w:val="0"/>
              <w:marRight w:val="0"/>
              <w:marTop w:val="0"/>
              <w:marBottom w:val="0"/>
              <w:divBdr>
                <w:top w:val="none" w:sz="0" w:space="0" w:color="auto"/>
                <w:left w:val="none" w:sz="0" w:space="0" w:color="auto"/>
                <w:bottom w:val="none" w:sz="0" w:space="0" w:color="auto"/>
                <w:right w:val="none" w:sz="0" w:space="0" w:color="auto"/>
              </w:divBdr>
              <w:divsChild>
                <w:div w:id="122968926">
                  <w:marLeft w:val="0"/>
                  <w:marRight w:val="0"/>
                  <w:marTop w:val="0"/>
                  <w:marBottom w:val="0"/>
                  <w:divBdr>
                    <w:top w:val="none" w:sz="0" w:space="0" w:color="auto"/>
                    <w:left w:val="none" w:sz="0" w:space="0" w:color="auto"/>
                    <w:bottom w:val="none" w:sz="0" w:space="0" w:color="auto"/>
                    <w:right w:val="none" w:sz="0" w:space="0" w:color="auto"/>
                  </w:divBdr>
                  <w:divsChild>
                    <w:div w:id="1193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BB61-BE7A-46A5-9203-01BE948A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4990</TotalTime>
  <Pages>6</Pages>
  <Words>1578</Words>
  <Characters>8257</Characters>
  <Application>Microsoft Office Word</Application>
  <DocSecurity>0</DocSecurity>
  <Lines>144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Jack</cp:lastModifiedBy>
  <cp:revision>23</cp:revision>
  <dcterms:created xsi:type="dcterms:W3CDTF">2009-01-23T15:40:00Z</dcterms:created>
  <dcterms:modified xsi:type="dcterms:W3CDTF">2009-01-28T17:27:00Z</dcterms:modified>
</cp:coreProperties>
</file>