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A4" w:rsidRDefault="00224793" w:rsidP="00224793">
      <w:r>
        <w:t xml:space="preserve">How is the pathology of Type 2 diabetes mellitus different than Type 1 diabetes mellitus? </w:t>
      </w:r>
    </w:p>
    <w:tbl>
      <w:tblPr>
        <w:tblStyle w:val="TableGrid"/>
        <w:tblW w:w="0" w:type="auto"/>
        <w:tblLook w:val="04A0"/>
      </w:tblPr>
      <w:tblGrid>
        <w:gridCol w:w="3192"/>
        <w:gridCol w:w="3192"/>
        <w:gridCol w:w="3192"/>
      </w:tblGrid>
      <w:tr w:rsidR="00D00869" w:rsidTr="00D00869">
        <w:tc>
          <w:tcPr>
            <w:tcW w:w="3192" w:type="dxa"/>
          </w:tcPr>
          <w:p w:rsidR="00D00869" w:rsidRDefault="00D00869" w:rsidP="00224793"/>
        </w:tc>
        <w:tc>
          <w:tcPr>
            <w:tcW w:w="3192" w:type="dxa"/>
          </w:tcPr>
          <w:p w:rsidR="00D00869" w:rsidRPr="004C6111" w:rsidRDefault="00D00869" w:rsidP="00224793">
            <w:pPr>
              <w:rPr>
                <w:b/>
              </w:rPr>
            </w:pPr>
            <w:r w:rsidRPr="004C6111">
              <w:rPr>
                <w:b/>
              </w:rPr>
              <w:t>Type 1 Diabetes</w:t>
            </w:r>
          </w:p>
        </w:tc>
        <w:tc>
          <w:tcPr>
            <w:tcW w:w="3192" w:type="dxa"/>
          </w:tcPr>
          <w:p w:rsidR="00D00869" w:rsidRPr="004C6111" w:rsidRDefault="00D00869" w:rsidP="00224793">
            <w:pPr>
              <w:rPr>
                <w:b/>
              </w:rPr>
            </w:pPr>
            <w:r w:rsidRPr="004C6111">
              <w:rPr>
                <w:b/>
              </w:rPr>
              <w:t>Type 2 Diabetes</w:t>
            </w:r>
          </w:p>
        </w:tc>
      </w:tr>
      <w:tr w:rsidR="00D00869" w:rsidTr="00D00869">
        <w:tc>
          <w:tcPr>
            <w:tcW w:w="3192" w:type="dxa"/>
          </w:tcPr>
          <w:p w:rsidR="00D00869" w:rsidRPr="004C6111" w:rsidRDefault="00D00869" w:rsidP="00224793">
            <w:pPr>
              <w:rPr>
                <w:b/>
              </w:rPr>
            </w:pPr>
            <w:r w:rsidRPr="004C6111">
              <w:rPr>
                <w:b/>
              </w:rPr>
              <w:t>Also known as</w:t>
            </w:r>
          </w:p>
        </w:tc>
        <w:tc>
          <w:tcPr>
            <w:tcW w:w="3192" w:type="dxa"/>
          </w:tcPr>
          <w:p w:rsidR="00D00869" w:rsidRDefault="00D00869" w:rsidP="00224793">
            <w:r>
              <w:t>IDDM</w:t>
            </w:r>
            <w:r w:rsidR="00BA3AB9">
              <w:t xml:space="preserve"> or </w:t>
            </w:r>
            <w:r w:rsidR="00DB6E87">
              <w:t>juvenile</w:t>
            </w:r>
            <w:r w:rsidR="009025BD">
              <w:t xml:space="preserve"> onset**</w:t>
            </w:r>
          </w:p>
        </w:tc>
        <w:tc>
          <w:tcPr>
            <w:tcW w:w="3192" w:type="dxa"/>
          </w:tcPr>
          <w:p w:rsidR="00D00869" w:rsidRDefault="00D00869" w:rsidP="00224793">
            <w:r>
              <w:t>NIDDM</w:t>
            </w:r>
            <w:r w:rsidR="009025BD">
              <w:t xml:space="preserve"> or adult onset</w:t>
            </w:r>
          </w:p>
        </w:tc>
      </w:tr>
      <w:tr w:rsidR="0022627B" w:rsidTr="00D00869">
        <w:tc>
          <w:tcPr>
            <w:tcW w:w="3192" w:type="dxa"/>
          </w:tcPr>
          <w:p w:rsidR="0022627B" w:rsidRPr="004C6111" w:rsidRDefault="004C6111" w:rsidP="00224793">
            <w:pPr>
              <w:rPr>
                <w:b/>
              </w:rPr>
            </w:pPr>
            <w:r w:rsidRPr="004C6111">
              <w:rPr>
                <w:b/>
              </w:rPr>
              <w:t>The breakdown</w:t>
            </w:r>
          </w:p>
        </w:tc>
        <w:tc>
          <w:tcPr>
            <w:tcW w:w="3192" w:type="dxa"/>
          </w:tcPr>
          <w:p w:rsidR="0022627B" w:rsidRDefault="0022627B" w:rsidP="00224793">
            <w:r>
              <w:t>Accounts for 5-10 % of all cases of diabetes</w:t>
            </w:r>
          </w:p>
        </w:tc>
        <w:tc>
          <w:tcPr>
            <w:tcW w:w="3192" w:type="dxa"/>
          </w:tcPr>
          <w:p w:rsidR="0022627B" w:rsidRDefault="0022627B" w:rsidP="00224793">
            <w:r>
              <w:t>Accounts for 90-95% of all cases of diabetes</w:t>
            </w:r>
          </w:p>
        </w:tc>
      </w:tr>
      <w:tr w:rsidR="00D00869" w:rsidTr="00D00869">
        <w:tc>
          <w:tcPr>
            <w:tcW w:w="3192" w:type="dxa"/>
          </w:tcPr>
          <w:p w:rsidR="00D00869" w:rsidRPr="004C6111" w:rsidRDefault="00D00869" w:rsidP="00224793">
            <w:pPr>
              <w:rPr>
                <w:b/>
              </w:rPr>
            </w:pPr>
            <w:r w:rsidRPr="004C6111">
              <w:rPr>
                <w:b/>
              </w:rPr>
              <w:t>Ages affected</w:t>
            </w:r>
          </w:p>
        </w:tc>
        <w:tc>
          <w:tcPr>
            <w:tcW w:w="3192" w:type="dxa"/>
          </w:tcPr>
          <w:p w:rsidR="00D00869" w:rsidRDefault="00BA3AB9" w:rsidP="00224793">
            <w:r>
              <w:t>Peak onset at age 11-13</w:t>
            </w:r>
          </w:p>
        </w:tc>
        <w:tc>
          <w:tcPr>
            <w:tcW w:w="3192" w:type="dxa"/>
          </w:tcPr>
          <w:p w:rsidR="00D00869" w:rsidRDefault="004C6111" w:rsidP="00224793">
            <w:r>
              <w:t>Affects people primarily after 40 yrs of age</w:t>
            </w:r>
          </w:p>
        </w:tc>
      </w:tr>
      <w:tr w:rsidR="00BA3AB9" w:rsidTr="00D00869">
        <w:tc>
          <w:tcPr>
            <w:tcW w:w="3192" w:type="dxa"/>
          </w:tcPr>
          <w:p w:rsidR="00BA3AB9" w:rsidRPr="004C6111" w:rsidRDefault="00BA3AB9" w:rsidP="00224793">
            <w:pPr>
              <w:rPr>
                <w:b/>
              </w:rPr>
            </w:pPr>
            <w:r w:rsidRPr="004C6111">
              <w:rPr>
                <w:b/>
              </w:rPr>
              <w:t>Types</w:t>
            </w:r>
          </w:p>
        </w:tc>
        <w:tc>
          <w:tcPr>
            <w:tcW w:w="3192" w:type="dxa"/>
          </w:tcPr>
          <w:p w:rsidR="00BA3AB9" w:rsidRDefault="00BA3AB9" w:rsidP="00BA3AB9">
            <w:pPr>
              <w:pStyle w:val="ListParagraph"/>
              <w:numPr>
                <w:ilvl w:val="0"/>
                <w:numId w:val="2"/>
              </w:numPr>
            </w:pPr>
            <w:r>
              <w:t>Immune- cell mediated destruction of beta cells of pancreas</w:t>
            </w:r>
          </w:p>
          <w:p w:rsidR="00BA3AB9" w:rsidRDefault="00BA3AB9" w:rsidP="00BA3AB9">
            <w:pPr>
              <w:pStyle w:val="ListParagraph"/>
              <w:numPr>
                <w:ilvl w:val="0"/>
                <w:numId w:val="2"/>
              </w:numPr>
            </w:pPr>
            <w:r>
              <w:t>Nonimmune- idiopathic cases such as pancreatitis, tumors of the pancreas</w:t>
            </w:r>
          </w:p>
        </w:tc>
        <w:tc>
          <w:tcPr>
            <w:tcW w:w="3192" w:type="dxa"/>
          </w:tcPr>
          <w:p w:rsidR="00BA3AB9" w:rsidRDefault="004C6111" w:rsidP="004C6111">
            <w:pPr>
              <w:pStyle w:val="ListParagraph"/>
              <w:numPr>
                <w:ilvl w:val="0"/>
                <w:numId w:val="5"/>
              </w:numPr>
            </w:pPr>
            <w:r>
              <w:t>Maturity onset diabetes of youth**</w:t>
            </w:r>
          </w:p>
          <w:p w:rsidR="004C6111" w:rsidRDefault="004C6111" w:rsidP="004C6111">
            <w:pPr>
              <w:pStyle w:val="ListParagraph"/>
              <w:numPr>
                <w:ilvl w:val="0"/>
                <w:numId w:val="5"/>
              </w:numPr>
            </w:pPr>
            <w:r>
              <w:t>Gestational diabetes</w:t>
            </w:r>
          </w:p>
          <w:p w:rsidR="004C6111" w:rsidRDefault="004C6111" w:rsidP="004C6111">
            <w:pPr>
              <w:pStyle w:val="ListParagraph"/>
              <w:numPr>
                <w:ilvl w:val="0"/>
                <w:numId w:val="5"/>
              </w:numPr>
            </w:pPr>
            <w:r>
              <w:t>Regular type II diabetes</w:t>
            </w:r>
          </w:p>
        </w:tc>
      </w:tr>
      <w:tr w:rsidR="009025BD" w:rsidTr="00D00869">
        <w:tc>
          <w:tcPr>
            <w:tcW w:w="3192" w:type="dxa"/>
          </w:tcPr>
          <w:p w:rsidR="009025BD" w:rsidRPr="004C6111" w:rsidRDefault="0022627B" w:rsidP="00224793">
            <w:pPr>
              <w:rPr>
                <w:b/>
              </w:rPr>
            </w:pPr>
            <w:r w:rsidRPr="004C6111">
              <w:rPr>
                <w:b/>
              </w:rPr>
              <w:t>Causes</w:t>
            </w:r>
          </w:p>
        </w:tc>
        <w:tc>
          <w:tcPr>
            <w:tcW w:w="3192" w:type="dxa"/>
          </w:tcPr>
          <w:p w:rsidR="009025BD" w:rsidRDefault="0022627B" w:rsidP="00224793">
            <w:r>
              <w:t xml:space="preserve">Mixed genetic and environmental </w:t>
            </w:r>
          </w:p>
          <w:p w:rsidR="00BA3AB9" w:rsidRDefault="00BA3AB9" w:rsidP="00BA3AB9">
            <w:pPr>
              <w:pStyle w:val="ListParagraph"/>
              <w:numPr>
                <w:ilvl w:val="0"/>
                <w:numId w:val="3"/>
              </w:numPr>
            </w:pPr>
            <w:r>
              <w:t>Genetic- between 10-13% have a first degree relative with type I</w:t>
            </w:r>
          </w:p>
        </w:tc>
        <w:tc>
          <w:tcPr>
            <w:tcW w:w="3192" w:type="dxa"/>
          </w:tcPr>
          <w:p w:rsidR="009025BD" w:rsidRDefault="0022627B" w:rsidP="0022627B">
            <w:r>
              <w:t>Mixed genetic and risk factors such as obesity, advanced age, physical inactivity, prior history of gestational diabetes mellitus (GDM), family history of diabetes, hypertension, dyslipidemia, polycystic ovary syndrome (PCOS) and race/ethnicity (African Americans, Latino, Hispanic, American Indians)</w:t>
            </w:r>
          </w:p>
        </w:tc>
      </w:tr>
      <w:tr w:rsidR="00D00869" w:rsidTr="00D00869">
        <w:tc>
          <w:tcPr>
            <w:tcW w:w="3192" w:type="dxa"/>
          </w:tcPr>
          <w:p w:rsidR="00D00869" w:rsidRPr="004C6111" w:rsidRDefault="00D00869" w:rsidP="00224793">
            <w:pPr>
              <w:rPr>
                <w:b/>
              </w:rPr>
            </w:pPr>
            <w:r w:rsidRPr="004C6111">
              <w:rPr>
                <w:b/>
              </w:rPr>
              <w:t>Pathophysiology</w:t>
            </w:r>
          </w:p>
        </w:tc>
        <w:tc>
          <w:tcPr>
            <w:tcW w:w="3192" w:type="dxa"/>
          </w:tcPr>
          <w:p w:rsidR="00BA3AB9" w:rsidRDefault="00DE53A4" w:rsidP="00224793">
            <w:r>
              <w:t>In immune type there is</w:t>
            </w:r>
            <w:r w:rsidR="00BA3AB9">
              <w:t xml:space="preserve"> an </w:t>
            </w:r>
            <w:r w:rsidR="00D00869">
              <w:t>autoimmune reaction to antigens of the islet cells of the pancreas</w:t>
            </w:r>
            <w:r w:rsidR="00BA3AB9">
              <w:t xml:space="preserve">, leading to </w:t>
            </w:r>
            <w:r w:rsidR="00D00869">
              <w:t>destruction of the beta cells leading to a deficiency in insulin secretion</w:t>
            </w:r>
            <w:r w:rsidR="00BA3AB9">
              <w:t>. Macrophages, T and B lymphocytes, and natural killer cells are held responsible for destruction</w:t>
            </w:r>
          </w:p>
        </w:tc>
        <w:tc>
          <w:tcPr>
            <w:tcW w:w="3192" w:type="dxa"/>
          </w:tcPr>
          <w:p w:rsidR="004C6111" w:rsidRDefault="004C6111" w:rsidP="004C6111">
            <w:pPr>
              <w:pStyle w:val="ListParagraph"/>
              <w:numPr>
                <w:ilvl w:val="0"/>
                <w:numId w:val="6"/>
              </w:numPr>
            </w:pPr>
            <w:r>
              <w:t>Insulin resistance: suboptimal response of insulin sensitive cells to insulin</w:t>
            </w:r>
          </w:p>
          <w:p w:rsidR="00D00869" w:rsidRDefault="004C6111" w:rsidP="004C6111">
            <w:pPr>
              <w:pStyle w:val="ListParagraph"/>
              <w:numPr>
                <w:ilvl w:val="0"/>
                <w:numId w:val="6"/>
              </w:numPr>
            </w:pPr>
            <w:r>
              <w:t>Decreased insulin secretion by beta cells: amyloid infiltration of islets and islet cell destruction</w:t>
            </w:r>
          </w:p>
        </w:tc>
      </w:tr>
      <w:tr w:rsidR="00D00869" w:rsidTr="00D00869">
        <w:tc>
          <w:tcPr>
            <w:tcW w:w="3192" w:type="dxa"/>
          </w:tcPr>
          <w:p w:rsidR="00D00869" w:rsidRPr="004C6111" w:rsidRDefault="00BA3AB9" w:rsidP="009025BD">
            <w:pPr>
              <w:rPr>
                <w:b/>
              </w:rPr>
            </w:pPr>
            <w:r w:rsidRPr="004C6111">
              <w:rPr>
                <w:b/>
              </w:rPr>
              <w:t>Insulin</w:t>
            </w:r>
          </w:p>
        </w:tc>
        <w:tc>
          <w:tcPr>
            <w:tcW w:w="3192" w:type="dxa"/>
          </w:tcPr>
          <w:p w:rsidR="00D00869" w:rsidRDefault="00BA3AB9" w:rsidP="00224793">
            <w:r>
              <w:t>Not enough is produced</w:t>
            </w:r>
          </w:p>
        </w:tc>
        <w:tc>
          <w:tcPr>
            <w:tcW w:w="3192" w:type="dxa"/>
          </w:tcPr>
          <w:p w:rsidR="00D00869" w:rsidRDefault="004C6111" w:rsidP="00224793">
            <w:r>
              <w:t>Cells become resistant to it and/or production is decreased</w:t>
            </w:r>
          </w:p>
        </w:tc>
      </w:tr>
      <w:tr w:rsidR="00D00869" w:rsidTr="00D00869">
        <w:tc>
          <w:tcPr>
            <w:tcW w:w="3192" w:type="dxa"/>
          </w:tcPr>
          <w:p w:rsidR="00D00869" w:rsidRPr="004C6111" w:rsidRDefault="00D00869" w:rsidP="00224793">
            <w:pPr>
              <w:rPr>
                <w:b/>
              </w:rPr>
            </w:pPr>
            <w:r w:rsidRPr="004C6111">
              <w:rPr>
                <w:b/>
              </w:rPr>
              <w:t>Glucagon</w:t>
            </w:r>
          </w:p>
        </w:tc>
        <w:tc>
          <w:tcPr>
            <w:tcW w:w="3192" w:type="dxa"/>
          </w:tcPr>
          <w:p w:rsidR="00D00869" w:rsidRDefault="00BA3AB9" w:rsidP="00BA3AB9">
            <w:r>
              <w:t>There is e</w:t>
            </w:r>
            <w:r w:rsidR="00D00869">
              <w:t>xcessive secretion of glucagon in these patients</w:t>
            </w:r>
            <w:r>
              <w:t xml:space="preserve"> relative to insulin secretion because the alpha cells are also functioning abnormally.</w:t>
            </w:r>
          </w:p>
        </w:tc>
        <w:tc>
          <w:tcPr>
            <w:tcW w:w="3192" w:type="dxa"/>
          </w:tcPr>
          <w:p w:rsidR="00D00869" w:rsidRDefault="004C6111" w:rsidP="00224793">
            <w:r>
              <w:t>Not as big of a player</w:t>
            </w:r>
          </w:p>
        </w:tc>
      </w:tr>
      <w:tr w:rsidR="004C6111" w:rsidTr="00D00869">
        <w:tc>
          <w:tcPr>
            <w:tcW w:w="3192" w:type="dxa"/>
          </w:tcPr>
          <w:p w:rsidR="004C6111" w:rsidRDefault="004C6111" w:rsidP="00022979">
            <w:r w:rsidRPr="004C6111">
              <w:rPr>
                <w:b/>
              </w:rPr>
              <w:t>Amylin</w:t>
            </w:r>
            <w:r>
              <w:t xml:space="preserve">- a hormone co-secreted with insulin by the beta cells- usually suppresses glucagon </w:t>
            </w:r>
            <w:r>
              <w:lastRenderedPageBreak/>
              <w:t>secretion</w:t>
            </w:r>
          </w:p>
        </w:tc>
        <w:tc>
          <w:tcPr>
            <w:tcW w:w="3192" w:type="dxa"/>
          </w:tcPr>
          <w:p w:rsidR="004C6111" w:rsidRDefault="00DE53A4" w:rsidP="00BA3AB9">
            <w:r>
              <w:lastRenderedPageBreak/>
              <w:t>D</w:t>
            </w:r>
            <w:r w:rsidR="004C6111">
              <w:t>eficient</w:t>
            </w:r>
          </w:p>
        </w:tc>
        <w:tc>
          <w:tcPr>
            <w:tcW w:w="3192" w:type="dxa"/>
          </w:tcPr>
          <w:p w:rsidR="004C6111" w:rsidRDefault="005753C8" w:rsidP="00022979">
            <w:r>
              <w:t>D</w:t>
            </w:r>
            <w:r w:rsidR="004C6111">
              <w:t>eficient</w:t>
            </w:r>
          </w:p>
        </w:tc>
      </w:tr>
      <w:tr w:rsidR="00BA3AB9" w:rsidTr="00D00869">
        <w:tc>
          <w:tcPr>
            <w:tcW w:w="3192" w:type="dxa"/>
          </w:tcPr>
          <w:p w:rsidR="00BA3AB9" w:rsidRPr="004C6111" w:rsidRDefault="00BA3AB9" w:rsidP="00022979">
            <w:pPr>
              <w:rPr>
                <w:b/>
              </w:rPr>
            </w:pPr>
            <w:r w:rsidRPr="004C6111">
              <w:rPr>
                <w:b/>
              </w:rPr>
              <w:lastRenderedPageBreak/>
              <w:t>Consequences for metabolism</w:t>
            </w:r>
          </w:p>
        </w:tc>
        <w:tc>
          <w:tcPr>
            <w:tcW w:w="3192" w:type="dxa"/>
          </w:tcPr>
          <w:p w:rsidR="00BA3AB9" w:rsidRDefault="00BA3AB9" w:rsidP="00BA3AB9">
            <w:r>
              <w:t>Relative increase in glucagon stimulates overproduction of glucose and ketones; deficiency of insulin results in an increase in fat catabolism</w:t>
            </w:r>
          </w:p>
        </w:tc>
        <w:tc>
          <w:tcPr>
            <w:tcW w:w="3192" w:type="dxa"/>
          </w:tcPr>
          <w:p w:rsidR="00BA3AB9" w:rsidRDefault="004C6111" w:rsidP="00022979">
            <w:r>
              <w:t>Hyperglycemia d/t insulin resistance or underproduction of insulin leads to abnormal lipid synthesis, fatigue</w:t>
            </w:r>
            <w:r w:rsidR="003D3DD0">
              <w:t>, and increased gluconeogenesis</w:t>
            </w:r>
          </w:p>
        </w:tc>
      </w:tr>
    </w:tbl>
    <w:p w:rsidR="00D00869" w:rsidRDefault="009025BD" w:rsidP="00224793">
      <w:r>
        <w:t>**This has been further confused by maturity type onset diabetes of the young (MODY)- a form of diabete</w:t>
      </w:r>
      <w:r w:rsidR="0022627B">
        <w:t>s type II that affects people under the age of 25.</w:t>
      </w:r>
    </w:p>
    <w:p w:rsidR="00173145" w:rsidRDefault="00173145">
      <w:pPr>
        <w:rPr>
          <w:noProof/>
        </w:rPr>
      </w:pPr>
      <w:r>
        <w:rPr>
          <w:noProof/>
        </w:rPr>
        <w:br w:type="page"/>
      </w:r>
    </w:p>
    <w:p w:rsidR="005753C8" w:rsidRDefault="005753C8" w:rsidP="003D3DD0">
      <w:pPr>
        <w:spacing w:line="240" w:lineRule="auto"/>
        <w:rPr>
          <w:noProof/>
        </w:rPr>
      </w:pPr>
      <w:r>
        <w:rPr>
          <w:noProof/>
        </w:rPr>
        <w:lastRenderedPageBreak/>
        <w:t>Here ar</w:t>
      </w:r>
      <w:r w:rsidR="00AA3E3D">
        <w:rPr>
          <w:noProof/>
        </w:rPr>
        <w:t>e a few more concept maps that we created to help us</w:t>
      </w:r>
      <w:r>
        <w:rPr>
          <w:noProof/>
        </w:rPr>
        <w:t xml:space="preserve"> put it all together</w:t>
      </w:r>
    </w:p>
    <w:p w:rsidR="00AA3E3D" w:rsidRDefault="00AA3E3D" w:rsidP="003D3DD0">
      <w:pPr>
        <w:spacing w:line="240" w:lineRule="auto"/>
        <w:rPr>
          <w:noProof/>
        </w:rPr>
      </w:pPr>
      <w:r>
        <w:rPr>
          <w:noProof/>
        </w:rPr>
        <w:t>TYPE I DIABETES</w:t>
      </w:r>
    </w:p>
    <w:p w:rsidR="005753C8" w:rsidRDefault="005753C8" w:rsidP="003D3DD0">
      <w:pPr>
        <w:spacing w:line="240" w:lineRule="auto"/>
        <w:rPr>
          <w:noProof/>
        </w:rPr>
      </w:pPr>
    </w:p>
    <w:p w:rsidR="003D3DD0" w:rsidRDefault="00DE53A4" w:rsidP="003D3DD0">
      <w:pPr>
        <w:spacing w:line="240" w:lineRule="auto"/>
        <w:rPr>
          <w:noProof/>
        </w:rPr>
      </w:pPr>
      <w:r>
        <w:rPr>
          <w:noProof/>
        </w:rPr>
        <w:drawing>
          <wp:inline distT="0" distB="0" distL="0" distR="0">
            <wp:extent cx="5943600" cy="3723005"/>
            <wp:effectExtent l="19050" t="0" r="0" b="0"/>
            <wp:docPr id="5" name="Picture 4" descr="type I diab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 I diabetes.jpg"/>
                    <pic:cNvPicPr/>
                  </pic:nvPicPr>
                  <pic:blipFill>
                    <a:blip r:embed="rId5" cstate="print"/>
                    <a:stretch>
                      <a:fillRect/>
                    </a:stretch>
                  </pic:blipFill>
                  <pic:spPr>
                    <a:xfrm>
                      <a:off x="0" y="0"/>
                      <a:ext cx="5943600" cy="3723005"/>
                    </a:xfrm>
                    <a:prstGeom prst="rect">
                      <a:avLst/>
                    </a:prstGeom>
                  </pic:spPr>
                </pic:pic>
              </a:graphicData>
            </a:graphic>
          </wp:inline>
        </w:drawing>
      </w:r>
    </w:p>
    <w:p w:rsidR="005753C8" w:rsidRDefault="005753C8" w:rsidP="003D3DD0">
      <w:pPr>
        <w:spacing w:line="240" w:lineRule="auto"/>
      </w:pPr>
    </w:p>
    <w:p w:rsidR="005753C8" w:rsidRDefault="005753C8" w:rsidP="003D3DD0">
      <w:pPr>
        <w:spacing w:line="240" w:lineRule="auto"/>
      </w:pPr>
    </w:p>
    <w:p w:rsidR="00AA3E3D" w:rsidRDefault="00AA3E3D" w:rsidP="003D3DD0">
      <w:pPr>
        <w:spacing w:line="240" w:lineRule="auto"/>
      </w:pPr>
    </w:p>
    <w:p w:rsidR="00DE53A4" w:rsidRDefault="00DE53A4">
      <w:r>
        <w:br w:type="page"/>
      </w:r>
    </w:p>
    <w:p w:rsidR="00DE53A4" w:rsidRDefault="00AA3E3D" w:rsidP="003D3DD0">
      <w:pPr>
        <w:spacing w:line="240" w:lineRule="auto"/>
      </w:pPr>
      <w:r>
        <w:lastRenderedPageBreak/>
        <w:t>TYPE II DIABETES</w:t>
      </w:r>
    </w:p>
    <w:p w:rsidR="00AA3E3D" w:rsidRDefault="00DE53A4" w:rsidP="003D3DD0">
      <w:pPr>
        <w:spacing w:line="240" w:lineRule="auto"/>
      </w:pPr>
      <w:r>
        <w:br/>
      </w:r>
      <w:r>
        <w:rPr>
          <w:noProof/>
        </w:rPr>
        <w:drawing>
          <wp:inline distT="0" distB="0" distL="0" distR="0">
            <wp:extent cx="5943600" cy="3867150"/>
            <wp:effectExtent l="19050" t="0" r="0" b="0"/>
            <wp:docPr id="4" name="Picture 3" descr="type II diabe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 II diabetes.jpg"/>
                    <pic:cNvPicPr/>
                  </pic:nvPicPr>
                  <pic:blipFill>
                    <a:blip r:embed="rId6" cstate="print"/>
                    <a:stretch>
                      <a:fillRect/>
                    </a:stretch>
                  </pic:blipFill>
                  <pic:spPr>
                    <a:xfrm>
                      <a:off x="0" y="0"/>
                      <a:ext cx="5943600" cy="3867150"/>
                    </a:xfrm>
                    <a:prstGeom prst="rect">
                      <a:avLst/>
                    </a:prstGeom>
                  </pic:spPr>
                </pic:pic>
              </a:graphicData>
            </a:graphic>
          </wp:inline>
        </w:drawing>
      </w:r>
    </w:p>
    <w:p w:rsidR="00AA3E3D" w:rsidRDefault="00AA3E3D" w:rsidP="003D3DD0">
      <w:pPr>
        <w:spacing w:line="240" w:lineRule="auto"/>
      </w:pPr>
    </w:p>
    <w:p w:rsidR="00DE53A4" w:rsidRDefault="00DE53A4">
      <w:r>
        <w:br w:type="page"/>
      </w:r>
    </w:p>
    <w:p w:rsidR="00DE53A4" w:rsidRDefault="003D3DD0" w:rsidP="00DE53A4">
      <w:pPr>
        <w:jc w:val="center"/>
      </w:pPr>
      <w:r>
        <w:lastRenderedPageBreak/>
        <w:t>References</w:t>
      </w:r>
    </w:p>
    <w:p w:rsidR="00DE53A4" w:rsidRDefault="00AA3E3D" w:rsidP="00DE53A4">
      <w:pPr>
        <w:jc w:val="center"/>
      </w:pPr>
      <w:r>
        <w:t xml:space="preserve">American Diabetes Association (2008). </w:t>
      </w:r>
      <w:r w:rsidRPr="00DE53A4">
        <w:rPr>
          <w:i/>
        </w:rPr>
        <w:t>Diabetes</w:t>
      </w:r>
      <w:r w:rsidR="00DE53A4" w:rsidRPr="00DE53A4">
        <w:rPr>
          <w:i/>
        </w:rPr>
        <w:t>P</w:t>
      </w:r>
      <w:r w:rsidRPr="00DE53A4">
        <w:rPr>
          <w:i/>
        </w:rPr>
        <w:t>ro:</w:t>
      </w:r>
      <w:r w:rsidR="00376FB8">
        <w:rPr>
          <w:i/>
        </w:rPr>
        <w:t xml:space="preserve"> P</w:t>
      </w:r>
      <w:r w:rsidRPr="00DE53A4">
        <w:rPr>
          <w:i/>
        </w:rPr>
        <w:t>rofessional resources online</w:t>
      </w:r>
      <w:r>
        <w:t xml:space="preserve">. Retrieved February 3, </w:t>
      </w:r>
    </w:p>
    <w:p w:rsidR="00AA3E3D" w:rsidRDefault="00AA3E3D" w:rsidP="00DE53A4">
      <w:pPr>
        <w:ind w:firstLine="720"/>
      </w:pPr>
      <w:r>
        <w:t xml:space="preserve">2009 from </w:t>
      </w:r>
      <w:r w:rsidRPr="00AA3E3D">
        <w:t>http://professional.diabetes.org/Disease_Backgrounder.aspx?MID=230&amp;RD=1</w:t>
      </w:r>
      <w:r>
        <w:t>.</w:t>
      </w:r>
    </w:p>
    <w:p w:rsidR="003D3DD0" w:rsidRDefault="003D3DD0" w:rsidP="00DE53A4">
      <w:r>
        <w:t xml:space="preserve">King, M. (2008). </w:t>
      </w:r>
      <w:r w:rsidRPr="003D3DD0">
        <w:rPr>
          <w:i/>
        </w:rPr>
        <w:t>Definition of diabetes</w:t>
      </w:r>
      <w:r>
        <w:t xml:space="preserve">. Retrieved February 2, 2009 from </w:t>
      </w:r>
    </w:p>
    <w:p w:rsidR="003D3DD0" w:rsidRDefault="008E1CD5" w:rsidP="00DE53A4">
      <w:pPr>
        <w:ind w:firstLine="720"/>
      </w:pPr>
      <w:hyperlink r:id="rId7" w:history="1">
        <w:r w:rsidR="003D3DD0" w:rsidRPr="00E83D4E">
          <w:rPr>
            <w:rStyle w:val="Hyperlink"/>
          </w:rPr>
          <w:t>http://themedicalbiochemistrypage.org/diabetes.html</w:t>
        </w:r>
      </w:hyperlink>
      <w:r w:rsidR="003D3DD0">
        <w:t xml:space="preserve">. </w:t>
      </w:r>
    </w:p>
    <w:p w:rsidR="003D3DD0" w:rsidRDefault="003D3DD0" w:rsidP="00DE53A4">
      <w:pPr>
        <w:rPr>
          <w:i/>
        </w:rPr>
      </w:pPr>
      <w:r>
        <w:t xml:space="preserve">McCance, K.L., &amp; Huether, S.E. (2006). </w:t>
      </w:r>
      <w:r>
        <w:rPr>
          <w:i/>
        </w:rPr>
        <w:t xml:space="preserve">Pathophysiology: The biologic basis for disease in adults and </w:t>
      </w:r>
    </w:p>
    <w:p w:rsidR="003D3DD0" w:rsidRDefault="003D3DD0" w:rsidP="00DE53A4">
      <w:pPr>
        <w:ind w:firstLine="720"/>
      </w:pPr>
      <w:r>
        <w:rPr>
          <w:i/>
        </w:rPr>
        <w:t>children</w:t>
      </w:r>
      <w:r>
        <w:t xml:space="preserve"> (5</w:t>
      </w:r>
      <w:r w:rsidRPr="001C3EBA">
        <w:rPr>
          <w:vertAlign w:val="superscript"/>
        </w:rPr>
        <w:t>th</w:t>
      </w:r>
      <w:r>
        <w:t xml:space="preserve"> ed.).  St. Louis: Elsevier Mosby.</w:t>
      </w:r>
    </w:p>
    <w:p w:rsidR="003D3DD0" w:rsidRDefault="003D3DD0" w:rsidP="003D3DD0">
      <w:pPr>
        <w:spacing w:line="240" w:lineRule="auto"/>
      </w:pPr>
    </w:p>
    <w:p w:rsidR="003D3DD0" w:rsidRDefault="003D3DD0" w:rsidP="00224793"/>
    <w:sectPr w:rsidR="003D3DD0" w:rsidSect="00641E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E3789"/>
    <w:multiLevelType w:val="hybridMultilevel"/>
    <w:tmpl w:val="868C2E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6F750C"/>
    <w:multiLevelType w:val="hybridMultilevel"/>
    <w:tmpl w:val="9D4C1E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400CA"/>
    <w:multiLevelType w:val="hybridMultilevel"/>
    <w:tmpl w:val="F81E18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156229"/>
    <w:multiLevelType w:val="hybridMultilevel"/>
    <w:tmpl w:val="0D06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8128D0"/>
    <w:multiLevelType w:val="hybridMultilevel"/>
    <w:tmpl w:val="B46E8A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735747"/>
    <w:multiLevelType w:val="hybridMultilevel"/>
    <w:tmpl w:val="98405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4793"/>
    <w:rsid w:val="001430FA"/>
    <w:rsid w:val="00173145"/>
    <w:rsid w:val="00202BB4"/>
    <w:rsid w:val="00224793"/>
    <w:rsid w:val="0022627B"/>
    <w:rsid w:val="00376FB8"/>
    <w:rsid w:val="003D3DD0"/>
    <w:rsid w:val="00436C56"/>
    <w:rsid w:val="004C6111"/>
    <w:rsid w:val="00525815"/>
    <w:rsid w:val="005753C8"/>
    <w:rsid w:val="00641ED8"/>
    <w:rsid w:val="007E4BF4"/>
    <w:rsid w:val="008E1CD5"/>
    <w:rsid w:val="009025BD"/>
    <w:rsid w:val="009A69B0"/>
    <w:rsid w:val="00A4026D"/>
    <w:rsid w:val="00AA3E3D"/>
    <w:rsid w:val="00BA3AB9"/>
    <w:rsid w:val="00D00869"/>
    <w:rsid w:val="00DB6E87"/>
    <w:rsid w:val="00DE53A4"/>
    <w:rsid w:val="00F4475D"/>
    <w:rsid w:val="00F97599"/>
    <w:rsid w:val="00FC63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0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
    <w:name w:val="style2"/>
    <w:basedOn w:val="DefaultParagraphFont"/>
    <w:rsid w:val="00224793"/>
  </w:style>
  <w:style w:type="character" w:customStyle="1" w:styleId="style3">
    <w:name w:val="style3"/>
    <w:basedOn w:val="DefaultParagraphFont"/>
    <w:rsid w:val="00224793"/>
  </w:style>
  <w:style w:type="paragraph" w:styleId="ListParagraph">
    <w:name w:val="List Paragraph"/>
    <w:basedOn w:val="Normal"/>
    <w:uiPriority w:val="34"/>
    <w:qFormat/>
    <w:rsid w:val="00202BB4"/>
    <w:pPr>
      <w:ind w:left="720"/>
      <w:contextualSpacing/>
    </w:pPr>
  </w:style>
  <w:style w:type="table" w:styleId="TableGrid">
    <w:name w:val="Table Grid"/>
    <w:basedOn w:val="TableNormal"/>
    <w:uiPriority w:val="59"/>
    <w:rsid w:val="00D00869"/>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D3DD0"/>
    <w:rPr>
      <w:color w:val="0000FF" w:themeColor="hyperlink"/>
      <w:u w:val="single"/>
    </w:rPr>
  </w:style>
  <w:style w:type="paragraph" w:styleId="BalloonText">
    <w:name w:val="Balloon Text"/>
    <w:basedOn w:val="Normal"/>
    <w:link w:val="BalloonTextChar"/>
    <w:uiPriority w:val="99"/>
    <w:semiHidden/>
    <w:unhideWhenUsed/>
    <w:rsid w:val="003D3D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D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medicalbiochemistrypage.org/diabe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2009-02-03T19:48:00Z</dcterms:created>
  <dcterms:modified xsi:type="dcterms:W3CDTF">2009-02-03T19:52:00Z</dcterms:modified>
</cp:coreProperties>
</file>