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7A" w:rsidRDefault="006C557A" w:rsidP="006C557A">
      <w:pPr>
        <w:spacing w:before="100" w:beforeAutospacing="1" w:after="100" w:afterAutospacing="1" w:line="240" w:lineRule="auto"/>
        <w:outlineLvl w:val="1"/>
        <w:rPr>
          <w:rFonts w:ascii="Arial" w:eastAsia="Times New Roman" w:hAnsi="Arial" w:cs="Arial"/>
          <w:b/>
          <w:bCs/>
          <w:sz w:val="24"/>
          <w:szCs w:val="24"/>
          <w:lang w:val="es-ES" w:eastAsia="es-PE"/>
        </w:rPr>
      </w:pPr>
      <w:r>
        <w:fldChar w:fldCharType="begin"/>
      </w:r>
      <w:r w:rsidRPr="006C557A">
        <w:rPr>
          <w:lang w:val="es-ES"/>
        </w:rPr>
        <w:instrText xml:space="preserve"> HYPERLINK "http://gestionti.wordpress.com/2010/02/11/gobierno-electronico-como-respuesta/" \o "Enlace permanente a Gobierno electrónico como respuesta" </w:instrText>
      </w:r>
      <w:r>
        <w:fldChar w:fldCharType="separate"/>
      </w:r>
      <w:r>
        <w:rPr>
          <w:rStyle w:val="Hipervnculo"/>
          <w:rFonts w:ascii="Arial" w:eastAsia="Times New Roman" w:hAnsi="Arial" w:cs="Arial"/>
          <w:b/>
          <w:bCs/>
          <w:color w:val="auto"/>
          <w:sz w:val="24"/>
          <w:szCs w:val="24"/>
          <w:u w:val="none"/>
          <w:lang w:val="es-ES" w:eastAsia="es-PE"/>
        </w:rPr>
        <w:t>Gobierno electrónico como respuesta</w:t>
      </w:r>
      <w:r>
        <w:fldChar w:fldCharType="end"/>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 xml:space="preserve">El gobierno electrónico </w:t>
      </w:r>
      <w:r>
        <w:rPr>
          <w:rFonts w:ascii="Arial" w:eastAsia="Times New Roman" w:hAnsi="Arial" w:cs="Arial"/>
          <w:bCs/>
          <w:lang w:val="es-ES" w:eastAsia="es-PE"/>
        </w:rPr>
        <w:t>es el uso de las nuevas tecnologías digitales (</w:t>
      </w:r>
      <w:proofErr w:type="spellStart"/>
      <w:r>
        <w:rPr>
          <w:rFonts w:ascii="Arial" w:eastAsia="Times New Roman" w:hAnsi="Arial" w:cs="Arial"/>
          <w:bCs/>
          <w:lang w:val="es-ES" w:eastAsia="es-PE"/>
        </w:rPr>
        <w:t>NTDs</w:t>
      </w:r>
      <w:proofErr w:type="spellEnd"/>
      <w:r>
        <w:rPr>
          <w:rFonts w:ascii="Arial" w:eastAsia="Times New Roman" w:hAnsi="Arial" w:cs="Arial"/>
          <w:bCs/>
          <w:lang w:val="es-ES" w:eastAsia="es-PE"/>
        </w:rPr>
        <w:t>) en las administraciones públicas en combinación con el cambio organizativo y las nuevas técnicas con el objetivo de mejorar los servicios públicos, los procesos democráticos y respaldar las políticas públicas</w:t>
      </w:r>
      <w:r>
        <w:rPr>
          <w:rFonts w:ascii="Arial" w:eastAsia="Times New Roman" w:hAnsi="Arial" w:cs="Arial"/>
          <w:lang w:val="es-ES" w:eastAsia="es-PE"/>
        </w:rPr>
        <w:t>.</w:t>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El gobierno electrónico hace posible una mejor y más eficaz administración, ya que mejora el desarrollo y la aplicación de políticas públicas y ayuda al sector público a enfrentarse a las contradictorias exigencias de ofrecer más y mejores servicios con menos recursos. Aunque la tecnología no puede transformar los procedimientos negativos en positivos, el gobierno electrónico ofrece al sector público la oportunidad de elegir otra manera de hacer las cosas. Por ejemplo, mejorando la eficiencia y la competencia de los servicios públicos (a través de un mercado electrónico) se pueden ahorrar millones de soles los mismos que pueden reinvertirse en bienes y servicios públicos, contribuyendo así al crecimiento económico.</w:t>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Asimismo, algunos gobiernos han reducido enormemente el tiempo necesario para crear una empresa (en nuestro país ya se cuenta con iniciativas desde el portal del estado) ofreciendo registros en línea gratuitos, los mismos que permiten a los empresarios dedicar sus limitados recursos a actividades verdaderamente empresariales. Hoy en día, gracias a la tramitación en línea las empresas ahorran en gastos administrativos y destinan más recursos a la producción o la innovación. Otro ejemplo es la disponibilidad en línea de la información del sector público la cual permite a las empresas elaborar proyectos, estudios de mercado, acceso a ofertas y demandas así como desarrollar productos más atractivos y competitivos.</w:t>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Importante sería para la disminución de las barreras de movilidad de los trabajadores de nuestro mercado interno, concentrar en un único sitio web información acerca de su formación convirtiéndola en información pública y ofreciéndola incluso en diferentes idiomas, esto ampliaría gradualmente la oferta y la demanda del empleo (interna y externa) facilitando de esta manera la integración social y económica.</w:t>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El buen gobierno en el sentido que acabamos de expresar, conseguido gracias a una combinación adecuada de las nuevas tecnologías digitales, a la innovación organizativa y a la mejora de las técnicas (gobierno electrónico), también se puede aplicar a servicios como salud, educación, transporte público entre otros ejes estratégicos. Por lo tanto, el gobierno electrónico es un concepto amplio y de aplicación de muchas lecciones aprendidas.</w:t>
      </w:r>
    </w:p>
    <w:p w:rsidR="006C557A" w:rsidRDefault="006C557A" w:rsidP="006C557A">
      <w:pPr>
        <w:spacing w:before="100" w:beforeAutospacing="1" w:after="100" w:afterAutospacing="1" w:line="240" w:lineRule="auto"/>
        <w:rPr>
          <w:rFonts w:ascii="Arial" w:eastAsia="Times New Roman" w:hAnsi="Arial" w:cs="Arial"/>
          <w:lang w:val="es-ES" w:eastAsia="es-PE"/>
        </w:rPr>
      </w:pPr>
      <w:r>
        <w:rPr>
          <w:rFonts w:ascii="Arial" w:eastAsia="Times New Roman" w:hAnsi="Arial" w:cs="Arial"/>
          <w:lang w:val="es-ES" w:eastAsia="es-PE"/>
        </w:rPr>
        <w:t>En resumen, el gobierno electrónico es un modo para hacer posible un sector público más abierto, inclusivo y productivo. Ésta es la condición previa para un sector gubernamental que se prepara para afrontar el futuro.</w:t>
      </w:r>
    </w:p>
    <w:p w:rsidR="006C557A" w:rsidRDefault="006C557A" w:rsidP="006C557A">
      <w:pPr>
        <w:spacing w:before="100" w:beforeAutospacing="1" w:after="100" w:afterAutospacing="1" w:line="240" w:lineRule="auto"/>
        <w:outlineLvl w:val="1"/>
        <w:rPr>
          <w:rFonts w:ascii="Times New Roman" w:eastAsia="Times New Roman" w:hAnsi="Times New Roman" w:cs="Lucida Sans Unicode"/>
          <w:b/>
          <w:bCs/>
          <w:sz w:val="38"/>
          <w:szCs w:val="38"/>
          <w:lang w:val="es-ES" w:eastAsia="es-PE"/>
        </w:rPr>
      </w:pPr>
    </w:p>
    <w:p w:rsidR="006C557A" w:rsidRDefault="006C557A" w:rsidP="006C557A">
      <w:pPr>
        <w:spacing w:before="100" w:beforeAutospacing="1" w:after="100" w:afterAutospacing="1" w:line="240" w:lineRule="auto"/>
        <w:outlineLvl w:val="1"/>
        <w:rPr>
          <w:rFonts w:ascii="Times New Roman" w:eastAsia="Times New Roman" w:hAnsi="Times New Roman" w:cs="Lucida Sans Unicode"/>
          <w:b/>
          <w:bCs/>
          <w:sz w:val="38"/>
          <w:szCs w:val="38"/>
          <w:lang w:val="es-ES" w:eastAsia="es-PE"/>
        </w:rPr>
      </w:pPr>
    </w:p>
    <w:p w:rsidR="00267A15" w:rsidRPr="006C557A" w:rsidRDefault="00267A15">
      <w:pPr>
        <w:rPr>
          <w:lang w:val="es-ES"/>
        </w:rPr>
      </w:pPr>
      <w:bookmarkStart w:id="0" w:name="_GoBack"/>
      <w:bookmarkEnd w:id="0"/>
    </w:p>
    <w:sectPr w:rsidR="00267A15" w:rsidRPr="006C557A" w:rsidSect="006C557A">
      <w:pgSz w:w="11906" w:h="16838"/>
      <w:pgMar w:top="1417" w:right="1701" w:bottom="1417" w:left="1701" w:header="708" w:footer="708" w:gutter="0"/>
      <w:pgBorders w:offsetFrom="page">
        <w:top w:val="dotDash" w:sz="4" w:space="24" w:color="FFC000"/>
        <w:left w:val="dotDash" w:sz="4" w:space="24" w:color="FFC000"/>
        <w:bottom w:val="dotDash" w:sz="4" w:space="24" w:color="FFC000"/>
        <w:right w:val="dotDash" w:sz="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7A"/>
    <w:rsid w:val="00267A15"/>
    <w:rsid w:val="006C5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7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5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7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5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2011-12-05T11:51:00Z</dcterms:created>
  <dcterms:modified xsi:type="dcterms:W3CDTF">2011-12-05T11:52:00Z</dcterms:modified>
</cp:coreProperties>
</file>