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89" w:rsidRPr="006B3589" w:rsidRDefault="006B3589" w:rsidP="006B3589">
      <w:pPr>
        <w:ind w:left="360"/>
        <w:jc w:val="center"/>
        <w:rPr>
          <w:rFonts w:ascii="Arial" w:hAnsi="Arial" w:cs="Arial"/>
          <w:color w:val="943634" w:themeColor="accent2" w:themeShade="BF"/>
          <w:sz w:val="36"/>
          <w:szCs w:val="36"/>
        </w:rPr>
      </w:pPr>
      <w:r w:rsidRPr="006B3589">
        <w:rPr>
          <w:rFonts w:ascii="Arial" w:hAnsi="Arial" w:cs="Arial"/>
          <w:color w:val="943634" w:themeColor="accent2" w:themeShade="BF"/>
          <w:sz w:val="36"/>
          <w:szCs w:val="36"/>
        </w:rPr>
        <w:t>DISFAGIA</w:t>
      </w:r>
    </w:p>
    <w:p w:rsidR="006B3589" w:rsidRPr="006B3589" w:rsidRDefault="006B3589" w:rsidP="000058BB">
      <w:pPr>
        <w:ind w:left="360"/>
        <w:jc w:val="both"/>
        <w:rPr>
          <w:rFonts w:ascii="Arial" w:hAnsi="Arial" w:cs="Arial"/>
          <w:bCs/>
          <w:color w:val="943634" w:themeColor="accent2" w:themeShade="BF"/>
          <w:sz w:val="24"/>
          <w:szCs w:val="24"/>
        </w:rPr>
      </w:pPr>
      <w:r w:rsidRPr="006B3589">
        <w:rPr>
          <w:rFonts w:ascii="Arial" w:hAnsi="Arial" w:cs="Arial"/>
          <w:bCs/>
          <w:color w:val="943634" w:themeColor="accent2" w:themeShade="BF"/>
          <w:sz w:val="24"/>
          <w:szCs w:val="24"/>
        </w:rPr>
        <w:t xml:space="preserve">Es la sensación de obstrucción al pasaje de los alimentos. Si esta percepción de impedimento al normal pasaje del material deglutido se observa en la iniciación de la deglución se denomina disfagia </w:t>
      </w:r>
      <w:proofErr w:type="spellStart"/>
      <w:r w:rsidRPr="006B3589">
        <w:rPr>
          <w:rFonts w:ascii="Arial" w:hAnsi="Arial" w:cs="Arial"/>
          <w:bCs/>
          <w:color w:val="943634" w:themeColor="accent2" w:themeShade="BF"/>
          <w:sz w:val="24"/>
          <w:szCs w:val="24"/>
        </w:rPr>
        <w:t>orofaringea</w:t>
      </w:r>
      <w:proofErr w:type="spellEnd"/>
      <w:r w:rsidRPr="006B3589">
        <w:rPr>
          <w:rFonts w:ascii="Arial" w:hAnsi="Arial" w:cs="Arial"/>
          <w:bCs/>
          <w:color w:val="943634" w:themeColor="accent2" w:themeShade="BF"/>
          <w:sz w:val="24"/>
          <w:szCs w:val="24"/>
        </w:rPr>
        <w:t xml:space="preserve"> (boca y faringe).</w:t>
      </w:r>
    </w:p>
    <w:p w:rsidR="006B3589" w:rsidRPr="006B3589" w:rsidRDefault="006B3589" w:rsidP="006B3589">
      <w:pPr>
        <w:ind w:left="360"/>
        <w:rPr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bCs/>
          <w:color w:val="943634" w:themeColor="accent2" w:themeShade="BF"/>
          <w:sz w:val="24"/>
          <w:szCs w:val="24"/>
        </w:rPr>
        <w:t>Si se produce en el camino hacia el estómago se denomina disfagia  esofágica.</w:t>
      </w:r>
    </w:p>
    <w:p w:rsidR="006B3589" w:rsidRPr="006B3589" w:rsidRDefault="006B3589" w:rsidP="006B3589">
      <w:pPr>
        <w:ind w:left="360"/>
        <w:rPr>
          <w:color w:val="943634" w:themeColor="accent2" w:themeShade="BF"/>
          <w:sz w:val="27"/>
          <w:szCs w:val="27"/>
          <w:shd w:val="clear" w:color="auto" w:fill="FFFFFF"/>
        </w:rPr>
      </w:pPr>
      <w:r w:rsidRPr="006B3589">
        <w:rPr>
          <w:color w:val="943634" w:themeColor="accent2" w:themeShade="BF"/>
          <w:sz w:val="27"/>
          <w:szCs w:val="27"/>
          <w:shd w:val="clear" w:color="auto" w:fill="FFFFFF"/>
        </w:rPr>
        <w:t>Puede ser:</w:t>
      </w:r>
    </w:p>
    <w:p w:rsidR="006B3589" w:rsidRPr="006B3589" w:rsidRDefault="006B3589" w:rsidP="000058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Mecánica o lógica: se tiene dificultad para deglutir solamente los sólidos.</w:t>
      </w:r>
    </w:p>
    <w:p w:rsidR="006B3589" w:rsidRDefault="006B3589" w:rsidP="000058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Ilógica: en este caso la dificultad es con los líquidos debido a un problema de innervación que hace que se produzca una </w:t>
      </w: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disritmia</w:t>
      </w:r>
      <w:proofErr w:type="spellEnd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en la deglución.</w:t>
      </w:r>
    </w:p>
    <w:p w:rsidR="006B3589" w:rsidRPr="006B3589" w:rsidRDefault="006B3589" w:rsidP="006B3589">
      <w:pPr>
        <w:ind w:left="360"/>
        <w:rPr>
          <w:rFonts w:ascii="Arial" w:hAnsi="Arial" w:cs="Arial"/>
          <w:color w:val="943634" w:themeColor="accent2" w:themeShade="BF"/>
          <w:sz w:val="4"/>
          <w:szCs w:val="4"/>
          <w:shd w:val="clear" w:color="auto" w:fill="FFFFFF"/>
        </w:rPr>
      </w:pPr>
    </w:p>
    <w:p w:rsidR="006B3589" w:rsidRPr="006B3589" w:rsidRDefault="006B3589" w:rsidP="006B3589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Causas</w:t>
      </w:r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Accidente cerebro-vascular</w:t>
      </w:r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Esclerosis lateral </w:t>
      </w: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amiotrófica</w:t>
      </w:r>
      <w:proofErr w:type="spellEnd"/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Amiotrófica</w:t>
      </w:r>
      <w:proofErr w:type="spellEnd"/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Parálisis cerebral</w:t>
      </w:r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Enfermedad de Parkinson</w:t>
      </w:r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Alzheimer</w:t>
      </w:r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</w:rPr>
        <w:t xml:space="preserve">Hernias </w:t>
      </w: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</w:rPr>
        <w:t>hiatales</w:t>
      </w:r>
      <w:proofErr w:type="spellEnd"/>
    </w:p>
    <w:p w:rsidR="006B3589" w:rsidRPr="006B3589" w:rsidRDefault="006B3589" w:rsidP="006B3589">
      <w:pPr>
        <w:pStyle w:val="Prrafodelista"/>
        <w:numPr>
          <w:ilvl w:val="0"/>
          <w:numId w:val="1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</w:rPr>
        <w:t>Divertículos (hernias del esófagos , altas o bajas)</w:t>
      </w:r>
    </w:p>
    <w:p w:rsidR="006B3589" w:rsidRPr="006B3589" w:rsidRDefault="006B3589" w:rsidP="006B3589">
      <w:pPr>
        <w:ind w:left="360"/>
        <w:rPr>
          <w:rFonts w:ascii="Arial" w:hAnsi="Arial" w:cs="Arial"/>
          <w:color w:val="943634" w:themeColor="accent2" w:themeShade="BF"/>
          <w:sz w:val="4"/>
          <w:szCs w:val="4"/>
          <w:shd w:val="clear" w:color="auto" w:fill="FFFFFF"/>
        </w:rPr>
      </w:pPr>
    </w:p>
    <w:p w:rsidR="006B3589" w:rsidRPr="006B3589" w:rsidRDefault="006B3589" w:rsidP="006B3589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Síntomas</w:t>
      </w:r>
    </w:p>
    <w:p w:rsidR="006B3589" w:rsidRPr="006B3589" w:rsidRDefault="006B3589" w:rsidP="006B3589">
      <w:pPr>
        <w:spacing w:after="0" w:line="240" w:lineRule="auto"/>
        <w:ind w:left="360"/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 xml:space="preserve">Los síntomas que acompañan la disfagia </w:t>
      </w:r>
      <w:proofErr w:type="spellStart"/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orofaringea</w:t>
      </w:r>
      <w:proofErr w:type="spellEnd"/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 xml:space="preserve">  en forma m</w:t>
      </w:r>
      <w:r w:rsidR="000058BB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á</w:t>
      </w: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s frecuente son:</w:t>
      </w:r>
    </w:p>
    <w:p w:rsidR="006B3589" w:rsidRPr="006B3589" w:rsidRDefault="006B3589" w:rsidP="006B358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Dificultad para iniciar la deglución.</w:t>
      </w:r>
    </w:p>
    <w:p w:rsidR="006B3589" w:rsidRPr="006B3589" w:rsidRDefault="006B3589" w:rsidP="006B358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Regurgitación nasal</w:t>
      </w:r>
    </w:p>
    <w:p w:rsidR="006B3589" w:rsidRPr="006B3589" w:rsidRDefault="006B3589" w:rsidP="006B358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Sensación de atragantamiento</w:t>
      </w:r>
    </w:p>
    <w:p w:rsidR="006B3589" w:rsidRPr="006B3589" w:rsidRDefault="006B3589" w:rsidP="006B358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Alteraciones neurológicas</w:t>
      </w:r>
    </w:p>
    <w:p w:rsidR="006B3589" w:rsidRPr="006B3589" w:rsidRDefault="006B3589" w:rsidP="006B358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Cambio en la voz durante la comida</w:t>
      </w:r>
    </w:p>
    <w:p w:rsidR="006B3589" w:rsidRPr="006B3589" w:rsidRDefault="006B3589" w:rsidP="006B3589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bCs/>
          <w:color w:val="943634" w:themeColor="accent2" w:themeShade="BF"/>
          <w:sz w:val="24"/>
          <w:szCs w:val="24"/>
          <w:lang w:eastAsia="es-ES"/>
        </w:rPr>
        <w:t>Pérdida de peso</w:t>
      </w:r>
    </w:p>
    <w:p w:rsidR="006B3589" w:rsidRPr="006B3589" w:rsidRDefault="006B3589" w:rsidP="006B358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es-ES"/>
        </w:rPr>
      </w:pPr>
    </w:p>
    <w:p w:rsidR="006B3589" w:rsidRPr="006B3589" w:rsidRDefault="006B3589" w:rsidP="006B3589">
      <w:pPr>
        <w:spacing w:after="0" w:line="240" w:lineRule="auto"/>
        <w:ind w:left="360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  <w:r w:rsidRPr="006B358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  <w:t>La disfagia mecánica se caracteriza por:</w:t>
      </w:r>
    </w:p>
    <w:p w:rsidR="006B3589" w:rsidRPr="006B3589" w:rsidRDefault="006B3589" w:rsidP="006B3589">
      <w:pPr>
        <w:pStyle w:val="Default"/>
        <w:numPr>
          <w:ilvl w:val="0"/>
          <w:numId w:val="5"/>
        </w:numPr>
        <w:rPr>
          <w:rFonts w:ascii="Arial" w:hAnsi="Arial" w:cs="Arial"/>
          <w:color w:val="943634" w:themeColor="accent2" w:themeShade="BF"/>
        </w:rPr>
      </w:pPr>
      <w:r w:rsidRPr="006B3589">
        <w:rPr>
          <w:rFonts w:ascii="Arial" w:hAnsi="Arial" w:cs="Arial"/>
          <w:color w:val="943634" w:themeColor="accent2" w:themeShade="BF"/>
        </w:rPr>
        <w:t xml:space="preserve">sensación de obstrucción </w:t>
      </w:r>
      <w:proofErr w:type="spellStart"/>
      <w:r w:rsidRPr="006B3589">
        <w:rPr>
          <w:rFonts w:ascii="Arial" w:hAnsi="Arial" w:cs="Arial"/>
          <w:color w:val="943634" w:themeColor="accent2" w:themeShade="BF"/>
        </w:rPr>
        <w:t>retroesternal</w:t>
      </w:r>
      <w:proofErr w:type="spellEnd"/>
      <w:r w:rsidRPr="006B3589">
        <w:rPr>
          <w:rFonts w:ascii="Arial" w:hAnsi="Arial" w:cs="Arial"/>
          <w:color w:val="943634" w:themeColor="accent2" w:themeShade="BF"/>
        </w:rPr>
        <w:t xml:space="preserve"> o epigástrica</w:t>
      </w:r>
    </w:p>
    <w:p w:rsidR="006B3589" w:rsidRPr="006B3589" w:rsidRDefault="006B3589" w:rsidP="006B3589">
      <w:pPr>
        <w:pStyle w:val="Default"/>
        <w:numPr>
          <w:ilvl w:val="0"/>
          <w:numId w:val="5"/>
        </w:numPr>
        <w:rPr>
          <w:rFonts w:ascii="Arial" w:hAnsi="Arial" w:cs="Arial"/>
          <w:color w:val="943634" w:themeColor="accent2" w:themeShade="BF"/>
        </w:rPr>
      </w:pPr>
      <w:r w:rsidRPr="006B3589">
        <w:rPr>
          <w:rFonts w:ascii="Arial" w:hAnsi="Arial" w:cs="Arial"/>
          <w:color w:val="943634" w:themeColor="accent2" w:themeShade="BF"/>
        </w:rPr>
        <w:t xml:space="preserve">dolor torácico y </w:t>
      </w:r>
    </w:p>
    <w:p w:rsidR="006B3589" w:rsidRPr="006B3589" w:rsidRDefault="006B3589" w:rsidP="006B3589">
      <w:pPr>
        <w:pStyle w:val="Default"/>
        <w:numPr>
          <w:ilvl w:val="0"/>
          <w:numId w:val="5"/>
        </w:numPr>
        <w:rPr>
          <w:rFonts w:ascii="Arial" w:hAnsi="Arial" w:cs="Arial"/>
          <w:color w:val="943634" w:themeColor="accent2" w:themeShade="BF"/>
        </w:rPr>
      </w:pPr>
      <w:r w:rsidRPr="006B3589">
        <w:rPr>
          <w:rFonts w:ascii="Arial" w:hAnsi="Arial" w:cs="Arial"/>
          <w:color w:val="943634" w:themeColor="accent2" w:themeShade="BF"/>
        </w:rPr>
        <w:t>regurgitación tardía</w:t>
      </w:r>
    </w:p>
    <w:p w:rsidR="006B3589" w:rsidRPr="006B3589" w:rsidRDefault="006B3589" w:rsidP="006B3589">
      <w:pPr>
        <w:spacing w:after="0" w:line="240" w:lineRule="auto"/>
        <w:ind w:left="360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</w:p>
    <w:p w:rsidR="006B3589" w:rsidRPr="006B3589" w:rsidRDefault="006B3589" w:rsidP="006B3589">
      <w:pPr>
        <w:spacing w:after="0" w:line="240" w:lineRule="auto"/>
        <w:ind w:left="360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es-ES"/>
        </w:rPr>
      </w:pPr>
    </w:p>
    <w:p w:rsidR="006B3589" w:rsidRPr="006B3589" w:rsidRDefault="006B3589" w:rsidP="006B3589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lastRenderedPageBreak/>
        <w:t>Diagnóstico</w:t>
      </w:r>
    </w:p>
    <w:p w:rsidR="006B3589" w:rsidRPr="006B3589" w:rsidRDefault="006B3589" w:rsidP="006B3589">
      <w:pPr>
        <w:spacing w:after="0" w:line="240" w:lineRule="auto"/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A través de:</w:t>
      </w:r>
    </w:p>
    <w:p w:rsidR="006B3589" w:rsidRPr="006B3589" w:rsidRDefault="006B3589" w:rsidP="006B3589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interrogatorio </w:t>
      </w:r>
    </w:p>
    <w:p w:rsidR="006B3589" w:rsidRPr="006B3589" w:rsidRDefault="006B3589" w:rsidP="006B3589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Estudios complementarios </w:t>
      </w:r>
      <w:proofErr w:type="gram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( </w:t>
      </w: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videofluoroscopía</w:t>
      </w:r>
      <w:proofErr w:type="spellEnd"/>
      <w:proofErr w:type="gramEnd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, </w:t>
      </w: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Rx</w:t>
      </w:r>
      <w:proofErr w:type="spellEnd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, etc.)</w:t>
      </w:r>
    </w:p>
    <w:p w:rsidR="006B3589" w:rsidRPr="006B3589" w:rsidRDefault="006B3589" w:rsidP="006B3589">
      <w:pPr>
        <w:spacing w:after="0" w:line="240" w:lineRule="auto"/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</w:p>
    <w:p w:rsidR="006B3589" w:rsidRPr="006B3589" w:rsidRDefault="006B3589" w:rsidP="006B3589">
      <w:pPr>
        <w:pStyle w:val="Prrafodelista"/>
        <w:numPr>
          <w:ilvl w:val="0"/>
          <w:numId w:val="7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Tratamiento</w:t>
      </w:r>
    </w:p>
    <w:p w:rsidR="006B3589" w:rsidRPr="006B3589" w:rsidRDefault="006B3589" w:rsidP="006B3589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De la disfagia </w:t>
      </w: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orofaríngea</w:t>
      </w:r>
      <w:proofErr w:type="spellEnd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:</w:t>
      </w:r>
    </w:p>
    <w:p w:rsidR="006B3589" w:rsidRPr="006B3589" w:rsidRDefault="00841778" w:rsidP="000058BB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bookmarkStart w:id="0" w:name="_GoBack"/>
      <w: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Por grupos</w:t>
      </w:r>
      <w:r w:rsidR="006B3589"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interdisciplinarios formados por médicos gastroenterólogos, otorrinolaringólogos, neurólogos, médicos rehabilitadores, radiólogos, fonoaudiólogos, nutricionistas y enfermeras especializadas que permitan corregir y generar:</w:t>
      </w:r>
    </w:p>
    <w:bookmarkEnd w:id="0"/>
    <w:p w:rsidR="006B3589" w:rsidRPr="006B3589" w:rsidRDefault="006B3589" w:rsidP="006B3589">
      <w:pPr>
        <w:pStyle w:val="Prrafodelista"/>
        <w:numPr>
          <w:ilvl w:val="0"/>
          <w:numId w:val="4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Estrategias posturales</w:t>
      </w:r>
    </w:p>
    <w:p w:rsidR="006B3589" w:rsidRPr="006B3589" w:rsidRDefault="006B3589" w:rsidP="006B3589">
      <w:pPr>
        <w:pStyle w:val="Prrafodelista"/>
        <w:numPr>
          <w:ilvl w:val="0"/>
          <w:numId w:val="4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iCs/>
          <w:color w:val="943634" w:themeColor="accent2" w:themeShade="BF"/>
          <w:sz w:val="24"/>
          <w:szCs w:val="24"/>
          <w:shd w:val="clear" w:color="auto" w:fill="FFFFFF"/>
        </w:rPr>
        <w:t>Cambios de volumen y viscosidad del bolo</w:t>
      </w:r>
    </w:p>
    <w:p w:rsidR="006B3589" w:rsidRPr="006B3589" w:rsidRDefault="006B3589" w:rsidP="006B3589">
      <w:pPr>
        <w:pStyle w:val="Prrafodelista"/>
        <w:numPr>
          <w:ilvl w:val="0"/>
          <w:numId w:val="4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6B3589">
        <w:rPr>
          <w:rFonts w:ascii="Arial" w:hAnsi="Arial" w:cs="Arial"/>
          <w:iCs/>
          <w:color w:val="943634" w:themeColor="accent2" w:themeShade="BF"/>
          <w:sz w:val="24"/>
          <w:szCs w:val="24"/>
          <w:shd w:val="clear" w:color="auto" w:fill="FFFFFF"/>
        </w:rPr>
        <w:t>Estrategias de incremento sensorial</w:t>
      </w:r>
    </w:p>
    <w:p w:rsidR="006B3589" w:rsidRPr="006B3589" w:rsidRDefault="006B3589" w:rsidP="006B3589">
      <w:pPr>
        <w:pStyle w:val="Prrafodelista"/>
        <w:numPr>
          <w:ilvl w:val="0"/>
          <w:numId w:val="4"/>
        </w:numPr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proofErr w:type="spellStart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Praxias</w:t>
      </w:r>
      <w:proofErr w:type="spellEnd"/>
      <w:r w:rsidRPr="006B3589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 xml:space="preserve"> neuromusculares</w:t>
      </w:r>
    </w:p>
    <w:p w:rsidR="006B3589" w:rsidRPr="00841778" w:rsidRDefault="006B3589" w:rsidP="006B3589">
      <w:pPr>
        <w:ind w:left="360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841778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De la disfagia esofágica</w:t>
      </w:r>
    </w:p>
    <w:p w:rsidR="006B3589" w:rsidRPr="00841778" w:rsidRDefault="006B3589" w:rsidP="006B3589">
      <w:pPr>
        <w:ind w:left="360"/>
        <w:jc w:val="both"/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</w:pPr>
      <w:r w:rsidRPr="00841778">
        <w:rPr>
          <w:rFonts w:ascii="Arial" w:hAnsi="Arial" w:cs="Arial"/>
          <w:color w:val="943634" w:themeColor="accent2" w:themeShade="BF"/>
          <w:sz w:val="24"/>
          <w:szCs w:val="24"/>
          <w:shd w:val="clear" w:color="auto" w:fill="FFFFFF"/>
        </w:rPr>
        <w:t>De acuerdo al tipo de lesión será el tratamiento a realizar. En general, se pueden indicar tratamientos farmacológicos, posturales, dietéticos y/o quirúrgicas.</w:t>
      </w:r>
    </w:p>
    <w:p w:rsidR="006B3589" w:rsidRPr="00841778" w:rsidRDefault="006B3589" w:rsidP="006B3589">
      <w:pPr>
        <w:ind w:left="36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41778">
        <w:rPr>
          <w:rFonts w:ascii="Arial" w:hAnsi="Arial" w:cs="Arial"/>
          <w:color w:val="000000"/>
          <w:sz w:val="24"/>
          <w:szCs w:val="24"/>
          <w:shd w:val="clear" w:color="auto" w:fill="FFFFFF"/>
        </w:rPr>
        <w:t>Referencias</w:t>
      </w:r>
    </w:p>
    <w:p w:rsidR="006B3589" w:rsidRPr="00841778" w:rsidRDefault="000058BB" w:rsidP="006B3589">
      <w:pPr>
        <w:ind w:left="360"/>
        <w:rPr>
          <w:rStyle w:val="Hipervnculo"/>
          <w:rFonts w:ascii="Arial" w:hAnsi="Arial" w:cs="Arial"/>
          <w:sz w:val="24"/>
          <w:szCs w:val="24"/>
        </w:rPr>
      </w:pPr>
      <w:hyperlink r:id="rId6" w:history="1">
        <w:r w:rsidR="006B3589" w:rsidRPr="00841778">
          <w:rPr>
            <w:rStyle w:val="Hipervnculo"/>
            <w:rFonts w:ascii="Arial" w:hAnsi="Arial" w:cs="Arial"/>
            <w:sz w:val="24"/>
            <w:szCs w:val="24"/>
          </w:rPr>
          <w:t>http://escuela.med.puc.cl/paginas/cursos/cuarto/integrado4/gastro4/Ap_Gastro_09.html</w:t>
        </w:r>
      </w:hyperlink>
    </w:p>
    <w:p w:rsidR="006B3589" w:rsidRPr="00841778" w:rsidRDefault="000058BB" w:rsidP="006B3589">
      <w:pPr>
        <w:ind w:left="360"/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6B3589" w:rsidRPr="00841778">
          <w:rPr>
            <w:rStyle w:val="Hipervnculo"/>
            <w:rFonts w:ascii="Arial" w:hAnsi="Arial" w:cs="Arial"/>
            <w:sz w:val="24"/>
            <w:szCs w:val="24"/>
          </w:rPr>
          <w:t>http://www.sage.org.ar/nueva/docs/expertos/dres_soifer_y_dima.pdf</w:t>
        </w:r>
      </w:hyperlink>
    </w:p>
    <w:p w:rsidR="006B3589" w:rsidRPr="00841778" w:rsidRDefault="006B3589" w:rsidP="006B3589">
      <w:pPr>
        <w:ind w:left="360"/>
        <w:rPr>
          <w:rFonts w:ascii="Arial" w:hAnsi="Arial" w:cs="Arial"/>
          <w:sz w:val="24"/>
          <w:szCs w:val="24"/>
        </w:rPr>
      </w:pPr>
    </w:p>
    <w:p w:rsidR="00E83ABD" w:rsidRDefault="00E83ABD"/>
    <w:sectPr w:rsidR="00E83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27"/>
    <w:multiLevelType w:val="hybridMultilevel"/>
    <w:tmpl w:val="8D16E7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E1CEE"/>
    <w:multiLevelType w:val="hybridMultilevel"/>
    <w:tmpl w:val="1B5C19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5871D3"/>
    <w:multiLevelType w:val="hybridMultilevel"/>
    <w:tmpl w:val="E376BC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8C3674"/>
    <w:multiLevelType w:val="hybridMultilevel"/>
    <w:tmpl w:val="8AAC79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700341"/>
    <w:multiLevelType w:val="hybridMultilevel"/>
    <w:tmpl w:val="15DC0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37CE9"/>
    <w:multiLevelType w:val="hybridMultilevel"/>
    <w:tmpl w:val="8E6649D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C50C49"/>
    <w:multiLevelType w:val="hybridMultilevel"/>
    <w:tmpl w:val="F3A0D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89"/>
    <w:rsid w:val="000058BB"/>
    <w:rsid w:val="006B3589"/>
    <w:rsid w:val="00841778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35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3589"/>
    <w:rPr>
      <w:color w:val="0000FF"/>
      <w:u w:val="single"/>
    </w:rPr>
  </w:style>
  <w:style w:type="paragraph" w:customStyle="1" w:styleId="Default">
    <w:name w:val="Default"/>
    <w:rsid w:val="006B35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35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3589"/>
    <w:rPr>
      <w:color w:val="0000FF"/>
      <w:u w:val="single"/>
    </w:rPr>
  </w:style>
  <w:style w:type="paragraph" w:customStyle="1" w:styleId="Default">
    <w:name w:val="Default"/>
    <w:rsid w:val="006B35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ge.org.ar/nueva/docs/expertos/dres_soifer_y_di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cuela.med.puc.cl/paginas/cursos/cuarto/integrado4/gastro4/Ap_Gastro_0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2012-08-01T02:56:00Z</dcterms:created>
  <dcterms:modified xsi:type="dcterms:W3CDTF">2012-08-01T03:16:00Z</dcterms:modified>
</cp:coreProperties>
</file>