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25" w:rsidRPr="00062F25" w:rsidRDefault="00062F25" w:rsidP="00062F25">
      <w:pPr>
        <w:jc w:val="center"/>
        <w:rPr>
          <w:b/>
          <w:color w:val="548DD4" w:themeColor="text2" w:themeTint="99"/>
          <w:sz w:val="36"/>
          <w:szCs w:val="36"/>
        </w:rPr>
      </w:pPr>
      <w:bookmarkStart w:id="0" w:name="_GoBack"/>
      <w:bookmarkEnd w:id="0"/>
      <w:r w:rsidRPr="00062F25">
        <w:rPr>
          <w:b/>
          <w:color w:val="548DD4" w:themeColor="text2" w:themeTint="99"/>
          <w:sz w:val="36"/>
          <w:szCs w:val="36"/>
        </w:rPr>
        <w:t>PLANTA</w:t>
      </w:r>
    </w:p>
    <w:p w:rsidR="00062F25" w:rsidRDefault="00062F25" w:rsidP="00062F25">
      <w:pPr>
        <w:jc w:val="center"/>
        <w:rPr>
          <w:sz w:val="36"/>
          <w:szCs w:val="36"/>
        </w:rPr>
      </w:pPr>
    </w:p>
    <w:p w:rsidR="00062F25" w:rsidRPr="00062F25" w:rsidRDefault="00062F25" w:rsidP="00062F25">
      <w:pPr>
        <w:jc w:val="center"/>
        <w:rPr>
          <w:b/>
          <w:sz w:val="36"/>
          <w:szCs w:val="36"/>
        </w:rPr>
      </w:pPr>
      <w:r w:rsidRPr="00062F25">
        <w:rPr>
          <w:b/>
          <w:sz w:val="36"/>
          <w:szCs w:val="36"/>
        </w:rPr>
        <w:t>- e</w:t>
      </w:r>
      <w:r w:rsidRPr="00062F25">
        <w:rPr>
          <w:b/>
          <w:sz w:val="36"/>
          <w:szCs w:val="36"/>
        </w:rPr>
        <w:t>s de cruz latina de 3 ó 5 naves, separadas por columnas</w:t>
      </w:r>
      <w:r w:rsidRPr="00062F25">
        <w:rPr>
          <w:b/>
          <w:sz w:val="36"/>
          <w:szCs w:val="36"/>
        </w:rPr>
        <w:t>.</w:t>
      </w:r>
    </w:p>
    <w:p w:rsidR="00062F25" w:rsidRPr="00062F25" w:rsidRDefault="00062F25" w:rsidP="00062F25">
      <w:pPr>
        <w:jc w:val="center"/>
        <w:rPr>
          <w:b/>
          <w:sz w:val="36"/>
          <w:szCs w:val="36"/>
        </w:rPr>
      </w:pPr>
      <w:r w:rsidRPr="00062F25">
        <w:rPr>
          <w:b/>
          <w:sz w:val="36"/>
          <w:szCs w:val="36"/>
        </w:rPr>
        <w:t>- la nave central es más</w:t>
      </w:r>
      <w:r w:rsidRPr="00062F25">
        <w:rPr>
          <w:b/>
          <w:sz w:val="36"/>
          <w:szCs w:val="36"/>
        </w:rPr>
        <w:t xml:space="preserve"> ancha y alta que las laterales</w:t>
      </w:r>
      <w:r w:rsidRPr="00062F25">
        <w:rPr>
          <w:b/>
          <w:sz w:val="36"/>
          <w:szCs w:val="36"/>
        </w:rPr>
        <w:t>.</w:t>
      </w:r>
    </w:p>
    <w:p w:rsidR="00062F25" w:rsidRPr="00062F25" w:rsidRDefault="00062F25" w:rsidP="00062F25">
      <w:pPr>
        <w:jc w:val="center"/>
        <w:rPr>
          <w:b/>
          <w:sz w:val="36"/>
          <w:szCs w:val="36"/>
        </w:rPr>
      </w:pPr>
      <w:r w:rsidRPr="00062F25">
        <w:rPr>
          <w:b/>
          <w:sz w:val="36"/>
          <w:szCs w:val="36"/>
        </w:rPr>
        <w:t>- en la cabecera existe un remate semicircular denominado “ábside”</w:t>
      </w:r>
    </w:p>
    <w:p w:rsidR="00731F2A" w:rsidRPr="00062F25" w:rsidRDefault="00062F25" w:rsidP="00062F25">
      <w:pPr>
        <w:jc w:val="center"/>
        <w:rPr>
          <w:b/>
          <w:sz w:val="36"/>
          <w:szCs w:val="36"/>
        </w:rPr>
      </w:pPr>
      <w:r w:rsidRPr="00062F25">
        <w:rPr>
          <w:b/>
          <w:sz w:val="36"/>
          <w:szCs w:val="36"/>
        </w:rPr>
        <w:t>- a la intersección de las dos naves se le llama “crucero”</w:t>
      </w:r>
    </w:p>
    <w:sectPr w:rsidR="00731F2A" w:rsidRPr="00062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25"/>
    <w:rsid w:val="00062F25"/>
    <w:rsid w:val="007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1</cp:revision>
  <dcterms:created xsi:type="dcterms:W3CDTF">2012-11-29T18:38:00Z</dcterms:created>
  <dcterms:modified xsi:type="dcterms:W3CDTF">2012-11-29T18:39:00Z</dcterms:modified>
</cp:coreProperties>
</file>