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2D" w:rsidRPr="009D6E2D" w:rsidRDefault="009D6E2D" w:rsidP="009D6E2D">
      <w:pPr>
        <w:rPr>
          <w:rFonts w:ascii="Century Gothic" w:hAnsi="Century Gothic"/>
          <w:b/>
          <w:sz w:val="28"/>
          <w:szCs w:val="28"/>
        </w:rPr>
      </w:pPr>
      <w:r w:rsidRPr="009D6E2D">
        <w:rPr>
          <w:rFonts w:ascii="Century Gothic" w:hAnsi="Century Gothic"/>
          <w:b/>
          <w:sz w:val="28"/>
          <w:szCs w:val="28"/>
        </w:rPr>
        <w:t>PROGRAMAS Y PROYECTOS DEL PLAN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Incluye 24 proyectos repartidos en 13 programas de naturaleza académica y  20 proyectos distribuidos en 6 programa</w:t>
      </w:r>
      <w:r>
        <w:rPr>
          <w:rFonts w:ascii="Century Gothic" w:hAnsi="Century Gothic"/>
          <w:sz w:val="28"/>
          <w:szCs w:val="28"/>
        </w:rPr>
        <w:t>s de naturaleza administrativa.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  <w:u w:val="single"/>
        </w:rPr>
      </w:pPr>
      <w:r w:rsidRPr="009D6E2D">
        <w:rPr>
          <w:rFonts w:ascii="Century Gothic" w:hAnsi="Century Gothic"/>
          <w:sz w:val="28"/>
          <w:szCs w:val="28"/>
          <w:u w:val="single"/>
        </w:rPr>
        <w:t xml:space="preserve">Componente académico:  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1: fortalecimiento y ampliación  de los programas de pregrado y posgrado.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 xml:space="preserve">Programa 2: cualificación de los programas de educación pre-escolar, básica y media. 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3: fomento a la docencia calificada.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4: apoyo a la excelencia estudiantil.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5: universidad con alta flexibilidad y apertura curricular.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Programas 6: una universidad para la investigación, la ciencia y la tecnología.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7: una universidad humanista, pluralista y democrática.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8: una universidad comprometida con su proyecto histórico social y con alto sentido de pertenencia institucional.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9: una universidad con amplia proyección social.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10: una universidad con modernos apoyos tecnológicos y didácticos al servicio de la academia.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11: una universidad moderna y proyectada internacionalmente.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lastRenderedPageBreak/>
        <w:t>Programa 12: una universidad centrada en la cultura y el bienestar institucional.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13: una universidad con amplia cobertura de educación no formal.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</w:p>
    <w:p w:rsidR="009D6E2D" w:rsidRPr="009D6E2D" w:rsidRDefault="009D6E2D" w:rsidP="009D6E2D">
      <w:pPr>
        <w:rPr>
          <w:rFonts w:ascii="Century Gothic" w:hAnsi="Century Gothic"/>
          <w:sz w:val="28"/>
          <w:szCs w:val="28"/>
          <w:u w:val="single"/>
        </w:rPr>
      </w:pPr>
      <w:bookmarkStart w:id="0" w:name="_GoBack"/>
      <w:r w:rsidRPr="009D6E2D">
        <w:rPr>
          <w:rFonts w:ascii="Century Gothic" w:hAnsi="Century Gothic"/>
          <w:sz w:val="28"/>
          <w:szCs w:val="28"/>
          <w:u w:val="single"/>
        </w:rPr>
        <w:t>COMPONENTE ADMINISTRATIVO</w:t>
      </w:r>
    </w:p>
    <w:bookmarkEnd w:id="0"/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1: implantación del sistema de información gerencial.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2: sistema de gestión de calidad.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3: modernización de la organización.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4: infraestructura y desarrollo físico.</w:t>
      </w:r>
    </w:p>
    <w:p w:rsidR="009D6E2D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5: promoción y mercadeo.</w:t>
      </w:r>
    </w:p>
    <w:p w:rsidR="00B56350" w:rsidRPr="009D6E2D" w:rsidRDefault="009D6E2D" w:rsidP="009D6E2D">
      <w:pPr>
        <w:rPr>
          <w:rFonts w:ascii="Century Gothic" w:hAnsi="Century Gothic"/>
          <w:sz w:val="28"/>
          <w:szCs w:val="28"/>
        </w:rPr>
      </w:pPr>
      <w:r w:rsidRPr="009D6E2D">
        <w:rPr>
          <w:rFonts w:ascii="Century Gothic" w:hAnsi="Century Gothic"/>
          <w:sz w:val="28"/>
          <w:szCs w:val="28"/>
        </w:rPr>
        <w:t>Programa 6: ordenamiento patrimonial y fortalecimiento financiero.</w:t>
      </w:r>
    </w:p>
    <w:sectPr w:rsidR="00B56350" w:rsidRPr="009D6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2D"/>
    <w:rsid w:val="009D6E2D"/>
    <w:rsid w:val="00B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2013-04-29T15:38:00Z</dcterms:created>
  <dcterms:modified xsi:type="dcterms:W3CDTF">2013-04-29T15:39:00Z</dcterms:modified>
</cp:coreProperties>
</file>