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8D" w:rsidRDefault="002B3BF8">
      <w:r>
        <w:t xml:space="preserve">Different approaches to public engagement are influenced by broader ideas about how scientists should relate to other citizens. Drawing on scholarship in public relations, </w:t>
      </w:r>
      <w:proofErr w:type="spellStart"/>
      <w:r>
        <w:t>Turney</w:t>
      </w:r>
      <w:proofErr w:type="spellEnd"/>
      <w:r>
        <w:t xml:space="preserve"> (1998) discusses how two-way communication can be conducted in ways that position scientists and citizens symmetrically—in other words, as equals—or asymmetrically, as non-equals.</w:t>
      </w:r>
      <w:bookmarkStart w:id="0" w:name="_GoBack"/>
      <w:bookmarkEnd w:id="0"/>
    </w:p>
    <w:sectPr w:rsidR="0079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8"/>
    <w:rsid w:val="002B3BF8"/>
    <w:rsid w:val="007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637E4-8651-434B-9B1C-B73FC5AE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2014-10-17T21:43:00Z</dcterms:created>
  <dcterms:modified xsi:type="dcterms:W3CDTF">2014-10-17T21:51:00Z</dcterms:modified>
</cp:coreProperties>
</file>