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12A" w:rsidRPr="000A2877" w:rsidRDefault="00F3012A" w:rsidP="009622AD">
      <w:pPr>
        <w:pStyle w:val="MMTitle"/>
        <w:tabs>
          <w:tab w:val="left" w:pos="5812"/>
        </w:tabs>
        <w:spacing w:after="240"/>
        <w:outlineLvl w:val="0"/>
        <w:rPr>
          <w:sz w:val="28"/>
          <w:szCs w:val="28"/>
        </w:rPr>
      </w:pPr>
      <w:proofErr w:type="spellStart"/>
      <w:r w:rsidRPr="000A2877">
        <w:rPr>
          <w:sz w:val="28"/>
          <w:szCs w:val="28"/>
        </w:rPr>
        <w:t>Vygotski</w:t>
      </w:r>
      <w:proofErr w:type="spellEnd"/>
      <w:r w:rsidRPr="000A2877">
        <w:rPr>
          <w:sz w:val="28"/>
          <w:szCs w:val="28"/>
        </w:rPr>
        <w:t xml:space="preserve"> y </w:t>
      </w:r>
      <w:proofErr w:type="spellStart"/>
      <w:r w:rsidRPr="000A2877">
        <w:rPr>
          <w:sz w:val="28"/>
          <w:szCs w:val="28"/>
        </w:rPr>
        <w:t>Feldman</w:t>
      </w:r>
      <w:proofErr w:type="spellEnd"/>
      <w:r w:rsidRPr="000A2877">
        <w:rPr>
          <w:sz w:val="28"/>
          <w:szCs w:val="28"/>
        </w:rPr>
        <w:t>. Mismas acciones, significados distintos</w:t>
      </w:r>
    </w:p>
    <w:p w:rsidR="00F3012A" w:rsidRDefault="00F3012A" w:rsidP="00326B27">
      <w:pPr>
        <w:spacing w:before="56" w:after="113"/>
        <w:rPr>
          <w:rFonts w:cs="Calibri"/>
        </w:rPr>
      </w:pPr>
      <w:r>
        <w:rPr>
          <w:rFonts w:cs="Calibri"/>
        </w:rPr>
        <w:t xml:space="preserve">El presente modelo del conocimiento tiene como marco el “Seminario Tecnologías y artefactos culturales y su función en las nuevas formas de enseñar y aprender. Y otros problemas de didáctica y representación del conocimiento”. Uno de sus objetivos principales es analizar las formas </w:t>
      </w:r>
      <w:hyperlink r:id="rId5" w:history="1">
        <w:r w:rsidRPr="00710ACA">
          <w:rPr>
            <w:rStyle w:val="Hipervnculo"/>
            <w:rFonts w:cs="Calibri"/>
          </w:rPr>
          <w:t>mediacionales</w:t>
        </w:r>
      </w:hyperlink>
      <w:r>
        <w:rPr>
          <w:rFonts w:cs="Calibri"/>
        </w:rPr>
        <w:t xml:space="preserve"> entre el aprendizaje y la enseñanza, particularmente cuando se acude al uso de artefactos tecnológicos y culturales. Otro de sus propósitos es promover la reflexión sobre las consecuencias que a nivel de la didáctica tienen el uso de dichas tecnologías de la información y la comunicación. </w:t>
      </w:r>
    </w:p>
    <w:p w:rsidR="00F3012A" w:rsidRDefault="00F3012A" w:rsidP="000F6B3A">
      <w:pPr>
        <w:pStyle w:val="Normal2"/>
      </w:pPr>
      <w:r>
        <w:t xml:space="preserve">La idea principal que sostiene el presente modelo del conocimiento es la de establecer una relación entre el texto de Aguilar Tamayo y </w:t>
      </w:r>
      <w:proofErr w:type="spellStart"/>
      <w:r>
        <w:t>Mahn</w:t>
      </w:r>
      <w:proofErr w:type="spellEnd"/>
      <w:r>
        <w:t xml:space="preserve"> </w:t>
      </w:r>
      <w:r>
        <w:rPr>
          <w:noProof/>
        </w:rPr>
        <w:t>(2011-en prensa)</w:t>
      </w:r>
      <w:r>
        <w:t xml:space="preserve"> y el texto de </w:t>
      </w:r>
      <w:proofErr w:type="spellStart"/>
      <w:r>
        <w:t>Feldman</w:t>
      </w:r>
      <w:proofErr w:type="spellEnd"/>
      <w:r>
        <w:t xml:space="preserve"> </w:t>
      </w:r>
      <w:r>
        <w:rPr>
          <w:noProof/>
        </w:rPr>
        <w:t>(2008)</w:t>
      </w:r>
      <w:r>
        <w:t xml:space="preserve"> particularmente mediante el concepto de acción. Consideramos que algunas de las preocupaciones que corren a lo largo de ambos textos giran en torno a la necesidad de una teoría que </w:t>
      </w:r>
      <w:proofErr w:type="spellStart"/>
      <w:r>
        <w:t>resignifique</w:t>
      </w:r>
      <w:proofErr w:type="spellEnd"/>
      <w:r>
        <w:t xml:space="preserve"> </w:t>
      </w:r>
      <w:r w:rsidR="000F6B3A">
        <w:t xml:space="preserve">de una manera más amplia y compleja </w:t>
      </w:r>
      <w:r>
        <w:t xml:space="preserve">el uso de ciertos artefactos culturales y tecnológicos. </w:t>
      </w:r>
    </w:p>
    <w:p w:rsidR="00F3012A" w:rsidRDefault="00F3012A" w:rsidP="00BC3495">
      <w:pPr>
        <w:pStyle w:val="Normal2"/>
      </w:pPr>
      <w:r>
        <w:t xml:space="preserve">Una vez que se ha manifestado la importancia del uso de una teoría que sustente el uso de los artefactos tecnológicos, el texto de Aguilar Tamayo y </w:t>
      </w:r>
      <w:proofErr w:type="spellStart"/>
      <w:r>
        <w:t>Mahn</w:t>
      </w:r>
      <w:proofErr w:type="spellEnd"/>
      <w:r>
        <w:t xml:space="preserve"> </w:t>
      </w:r>
      <w:r>
        <w:rPr>
          <w:noProof/>
        </w:rPr>
        <w:t>(2011-en prensa)</w:t>
      </w:r>
      <w:r>
        <w:t xml:space="preserve"> pone como ejemplo la propuesta de </w:t>
      </w:r>
      <w:proofErr w:type="spellStart"/>
      <w:r>
        <w:t>Vygotski</w:t>
      </w:r>
      <w:proofErr w:type="spellEnd"/>
      <w:r>
        <w:t xml:space="preserve">. El concepto sobre el cual se pone mayor énfasis es el de </w:t>
      </w:r>
      <w:hyperlink r:id="rId6" w:history="1">
        <w:r w:rsidRPr="00232DF4">
          <w:rPr>
            <w:rStyle w:val="Hipervnculo"/>
          </w:rPr>
          <w:t>desarrollo</w:t>
        </w:r>
      </w:hyperlink>
      <w:r>
        <w:t xml:space="preserve">, éste concepto permitirá la descripción y explicación del concepto </w:t>
      </w:r>
      <w:hyperlink r:id="rId7" w:history="1">
        <w:r w:rsidRPr="00895B5D">
          <w:rPr>
            <w:rStyle w:val="Hipervnculo"/>
          </w:rPr>
          <w:t>sistema de significado</w:t>
        </w:r>
      </w:hyperlink>
      <w:r>
        <w:t xml:space="preserve">. Es así como la teoría de </w:t>
      </w:r>
      <w:proofErr w:type="spellStart"/>
      <w:r>
        <w:t>Vygotski</w:t>
      </w:r>
      <w:proofErr w:type="spellEnd"/>
      <w:r>
        <w:t>, particularmente en lo que tiene que ver con la elaboración del sistema de significado, puede “ayudar a fundamentar y planear aproximaciones educativas para aquellos con necesidades, incluyendo el uso e artefactos para ayudar a la comunicación y el aprendizaje.”</w:t>
      </w:r>
      <w:r>
        <w:rPr>
          <w:noProof/>
        </w:rPr>
        <w:t>(p. 3)</w:t>
      </w:r>
      <w:r>
        <w:t xml:space="preserve"> </w:t>
      </w:r>
    </w:p>
    <w:p w:rsidR="00F3012A" w:rsidRPr="00472C14" w:rsidRDefault="00F3012A" w:rsidP="00BC3495">
      <w:pPr>
        <w:pStyle w:val="Normal2"/>
      </w:pPr>
      <w:r>
        <w:t xml:space="preserve">Consideramos que es precisamente en esta “ayuda a fundamentar y planear aproximaciones educativas” donde puede existir una articulación con el análisis que se hace en </w:t>
      </w:r>
      <w:proofErr w:type="spellStart"/>
      <w:r>
        <w:t>Feldman</w:t>
      </w:r>
      <w:proofErr w:type="spellEnd"/>
      <w:r>
        <w:t xml:space="preserve"> </w:t>
      </w:r>
      <w:r>
        <w:rPr>
          <w:noProof/>
        </w:rPr>
        <w:t>(2008)</w:t>
      </w:r>
      <w:r>
        <w:t xml:space="preserve">. Dicho con otras palabras, acudir a </w:t>
      </w:r>
      <w:proofErr w:type="spellStart"/>
      <w:r>
        <w:t>Vygotski</w:t>
      </w:r>
      <w:proofErr w:type="spellEnd"/>
      <w:r>
        <w:t xml:space="preserve"> puede ser entendido como una manera de repensar y </w:t>
      </w:r>
      <w:hyperlink r:id="rId8" w:history="1">
        <w:proofErr w:type="spellStart"/>
        <w:r w:rsidRPr="00472C14">
          <w:rPr>
            <w:rStyle w:val="Hipervnculo"/>
          </w:rPr>
          <w:t>resignificar</w:t>
        </w:r>
        <w:proofErr w:type="spellEnd"/>
        <w:r w:rsidRPr="00472C14">
          <w:rPr>
            <w:rStyle w:val="Hipervnculo"/>
          </w:rPr>
          <w:t xml:space="preserve"> la </w:t>
        </w:r>
        <w:r w:rsidRPr="00472C14">
          <w:rPr>
            <w:rStyle w:val="Hipervnculo"/>
            <w:i/>
          </w:rPr>
          <w:t>acción</w:t>
        </w:r>
        <w:r w:rsidRPr="00472C14">
          <w:rPr>
            <w:rStyle w:val="Hipervnculo"/>
          </w:rPr>
          <w:t xml:space="preserve"> educativa</w:t>
        </w:r>
      </w:hyperlink>
      <w:r>
        <w:t xml:space="preserve"> junto con el uso de los artefactos tecnológicos. </w:t>
      </w:r>
    </w:p>
    <w:p w:rsidR="00F3012A" w:rsidRDefault="00F3012A" w:rsidP="009B0FD8">
      <w:pPr>
        <w:pStyle w:val="Normal2"/>
      </w:pPr>
      <w:r>
        <w:t xml:space="preserve">Para </w:t>
      </w:r>
      <w:proofErr w:type="spellStart"/>
      <w:r>
        <w:t>Feldman</w:t>
      </w:r>
      <w:proofErr w:type="spellEnd"/>
      <w:r>
        <w:t xml:space="preserve"> hay dos maneras de entender la acción, una es la denominada </w:t>
      </w:r>
      <w:hyperlink r:id="rId9" w:history="1">
        <w:r w:rsidRPr="00472C14">
          <w:rPr>
            <w:rStyle w:val="Hipervnculo"/>
          </w:rPr>
          <w:t>Modalidad técnica</w:t>
        </w:r>
      </w:hyperlink>
      <w:r w:rsidR="00954905">
        <w:t xml:space="preserve">, </w:t>
      </w:r>
      <w:r>
        <w:t xml:space="preserve">la otra es la </w:t>
      </w:r>
      <w:hyperlink r:id="rId10" w:history="1">
        <w:r w:rsidRPr="00472C14">
          <w:rPr>
            <w:rStyle w:val="Hipervnculo"/>
          </w:rPr>
          <w:t>Modalidad práctica</w:t>
        </w:r>
      </w:hyperlink>
      <w:r>
        <w:t xml:space="preserve">. Es importante señalar cómo la crítica que se hace a la propuesta de uso de los artefactos tecnológicos en Aguilar Tamayo y </w:t>
      </w:r>
      <w:proofErr w:type="spellStart"/>
      <w:r>
        <w:t>Mahn</w:t>
      </w:r>
      <w:proofErr w:type="spellEnd"/>
      <w:r>
        <w:t xml:space="preserve"> (2011-en prensa) puede ser considerada como la caracterización que se hace de la modalidad técnica de </w:t>
      </w:r>
      <w:proofErr w:type="spellStart"/>
      <w:r>
        <w:t>Feldman</w:t>
      </w:r>
      <w:proofErr w:type="spellEnd"/>
      <w:r>
        <w:t xml:space="preserve"> (2008). Para los primeros es importante ir más </w:t>
      </w:r>
      <w:r w:rsidR="004F42CC">
        <w:t>allá</w:t>
      </w:r>
      <w:r>
        <w:t xml:space="preserve"> de la mera enumeración y descripción técnica de los aparatos, lo ideal sería enfocarse en la ayuda que pueden brindar al aprendiz en la construcción de su </w:t>
      </w:r>
      <w:hyperlink r:id="rId11" w:history="1">
        <w:r w:rsidRPr="00F81CF6">
          <w:rPr>
            <w:rStyle w:val="Hipervnculo"/>
          </w:rPr>
          <w:t>sistema de significado</w:t>
        </w:r>
      </w:hyperlink>
      <w:r>
        <w:t xml:space="preserve"> y en las posibilidades de una interacción social integral. En términos de lo propuesto por </w:t>
      </w:r>
      <w:proofErr w:type="spellStart"/>
      <w:r>
        <w:lastRenderedPageBreak/>
        <w:t>Feldman</w:t>
      </w:r>
      <w:proofErr w:type="spellEnd"/>
      <w:r>
        <w:t xml:space="preserve"> podríamos decir que lo importante es ir más allá de elección del instrumento más idóneo para responder o dar solución al problema que se plantea en el aula, es decir, trascender la </w:t>
      </w:r>
      <w:hyperlink r:id="rId12" w:history="1">
        <w:r w:rsidRPr="00F948D3">
          <w:rPr>
            <w:rStyle w:val="Hipervnculo"/>
          </w:rPr>
          <w:t>modalidad técnica</w:t>
        </w:r>
      </w:hyperlink>
      <w:r>
        <w:t xml:space="preserve"> de la acción. </w:t>
      </w:r>
    </w:p>
    <w:p w:rsidR="00F3012A" w:rsidRDefault="00F3012A" w:rsidP="00F97185">
      <w:pPr>
        <w:pStyle w:val="Normal2"/>
      </w:pPr>
      <w:r>
        <w:t xml:space="preserve">Otra crítica que se hace en el texto de Aguilar Tamayo y </w:t>
      </w:r>
      <w:proofErr w:type="spellStart"/>
      <w:r>
        <w:t>Mahn</w:t>
      </w:r>
      <w:proofErr w:type="spellEnd"/>
      <w:r>
        <w:t xml:space="preserve"> (2011-en prensa) tiene que ver con la fragmentariedad de los discursos que se aproximan y procuran responder a la problemática del uso de la tecnología, particularmente en el caso de la educación especial. Dicha crítica se basa en dos </w:t>
      </w:r>
      <w:hyperlink r:id="rId13" w:history="1">
        <w:r w:rsidRPr="009733F6">
          <w:rPr>
            <w:rStyle w:val="Hipervnculo"/>
          </w:rPr>
          <w:t>modalidades de pensamiento</w:t>
        </w:r>
      </w:hyperlink>
      <w:r>
        <w:t xml:space="preserve"> descritas por </w:t>
      </w:r>
      <w:proofErr w:type="spellStart"/>
      <w:r>
        <w:t>Bruner</w:t>
      </w:r>
      <w:proofErr w:type="spellEnd"/>
      <w:r>
        <w:t xml:space="preserve"> </w:t>
      </w:r>
      <w:r>
        <w:rPr>
          <w:noProof/>
        </w:rPr>
        <w:t>(1988)</w:t>
      </w:r>
      <w:r>
        <w:t xml:space="preserve">, la primera de ellas, un modelo explicativo y experimental, tiene su fundamento en las ciencias físicas y experimentales; la segunda, es un modelo interpretativo que encuentra sus raíces en las ciencias sociales. Estos dos modos de construir el conocimiento no son considerados como </w:t>
      </w:r>
      <w:proofErr w:type="spellStart"/>
      <w:r>
        <w:t>autoexcluyentes</w:t>
      </w:r>
      <w:proofErr w:type="spellEnd"/>
      <w:r>
        <w:t xml:space="preserve">. Es así como consideramos que otro punto de articulación entre los dos textos propuestos, tiene que ver con que en el análisis que hace </w:t>
      </w:r>
      <w:proofErr w:type="spellStart"/>
      <w:r>
        <w:t>Feldman</w:t>
      </w:r>
      <w:proofErr w:type="spellEnd"/>
      <w:r>
        <w:t xml:space="preserve"> de la acción, es decir, el modelo explicativo y experimental y el modelo interpretativo tienen en términos generales ciertas coincidencias teóricas y conceptuales con las </w:t>
      </w:r>
      <w:hyperlink r:id="rId14" w:history="1">
        <w:r w:rsidRPr="00992ABB">
          <w:rPr>
            <w:rStyle w:val="Hipervnculo"/>
          </w:rPr>
          <w:t>modalidades técnicas</w:t>
        </w:r>
      </w:hyperlink>
      <w:r>
        <w:t xml:space="preserve"> y </w:t>
      </w:r>
      <w:hyperlink r:id="rId15" w:history="1">
        <w:r w:rsidRPr="00992ABB">
          <w:rPr>
            <w:rStyle w:val="Hipervnculo"/>
          </w:rPr>
          <w:t>prácticas</w:t>
        </w:r>
      </w:hyperlink>
      <w:r>
        <w:t xml:space="preserve"> de </w:t>
      </w:r>
      <w:proofErr w:type="spellStart"/>
      <w:r>
        <w:t>Feldman</w:t>
      </w:r>
      <w:proofErr w:type="spellEnd"/>
      <w:r>
        <w:t xml:space="preserve">, respectivamente. </w:t>
      </w:r>
    </w:p>
    <w:p w:rsidR="00F3012A" w:rsidRDefault="00F3012A" w:rsidP="00F97185">
      <w:pPr>
        <w:pStyle w:val="Normal2"/>
      </w:pPr>
      <w:r>
        <w:t xml:space="preserve">Para finalizar, consideramos importante el hecho de que la aproximación a </w:t>
      </w:r>
      <w:proofErr w:type="spellStart"/>
      <w:r>
        <w:t>Vygotski</w:t>
      </w:r>
      <w:proofErr w:type="spellEnd"/>
      <w:r>
        <w:t xml:space="preserve"> puede ayudar a salvaguardar el discurso fragmentado que se genera a partir de abordar la </w:t>
      </w:r>
      <w:r w:rsidR="002F0CDC">
        <w:t>problemática</w:t>
      </w:r>
      <w:r>
        <w:t xml:space="preserve"> de la educación especial desde distintas disciplinas, lo cual puede generar un análisis más completo pero no por ello integral. Igualmente creemos que las coincidencias entre las modalidades del pensamiento que se describen y explican en ambos textos pueden ser entendías como una preocupación que atraviesa la reflexión didáctica. Si en un momento dado, el análisis de </w:t>
      </w:r>
      <w:proofErr w:type="spellStart"/>
      <w:r>
        <w:t>Feldman</w:t>
      </w:r>
      <w:proofErr w:type="spellEnd"/>
      <w:r>
        <w:t xml:space="preserve"> podría percibirse como muy abstracto y general, la descripción de Aguilar Tamayo y </w:t>
      </w:r>
      <w:proofErr w:type="spellStart"/>
      <w:r>
        <w:t>Mahn</w:t>
      </w:r>
      <w:proofErr w:type="spellEnd"/>
      <w:r>
        <w:t xml:space="preserve"> brindan elementos para concebirla de una manera más concreta y con anclajes en el salón de clases. </w:t>
      </w:r>
    </w:p>
    <w:p w:rsidR="00F3012A" w:rsidRPr="000A2877" w:rsidRDefault="00F3012A" w:rsidP="00E25938">
      <w:pPr>
        <w:pStyle w:val="Normal2"/>
        <w:ind w:firstLine="0"/>
        <w:rPr>
          <w:b/>
        </w:rPr>
      </w:pPr>
      <w:r w:rsidRPr="000A2877">
        <w:rPr>
          <w:b/>
        </w:rPr>
        <w:t>Referencias</w:t>
      </w:r>
    </w:p>
    <w:p w:rsidR="00F3012A" w:rsidRDefault="00F3012A" w:rsidP="00F97185">
      <w:pPr>
        <w:spacing w:after="0" w:line="240" w:lineRule="auto"/>
        <w:ind w:left="720" w:hanging="720"/>
        <w:rPr>
          <w:noProof/>
        </w:rPr>
      </w:pPr>
      <w:r>
        <w:rPr>
          <w:noProof/>
        </w:rPr>
        <w:t xml:space="preserve">Aguilar Tamayo, M. F., y Mahn, H. (2011-en prensa). Educación especial y tecnología: Un encuadre teórico en la perspectiva de Vygotski. En A. Padilla Arroyo (Ed.), </w:t>
      </w:r>
      <w:r w:rsidRPr="00F97185">
        <w:rPr>
          <w:i/>
          <w:noProof/>
        </w:rPr>
        <w:t>Deficientes, anormales, discapacitados en los siglos XIX y XX: Actores, instituciones y prácticas</w:t>
      </w:r>
      <w:r>
        <w:rPr>
          <w:noProof/>
        </w:rPr>
        <w:t xml:space="preserve">. México: Juan Pablos, Universidad Autónoma del Estado de Morelos, Consejo Nacional para la Ciencia y la Tecnología </w:t>
      </w:r>
    </w:p>
    <w:p w:rsidR="00F3012A" w:rsidRDefault="00F3012A" w:rsidP="00F97185">
      <w:pPr>
        <w:spacing w:after="0" w:line="240" w:lineRule="auto"/>
        <w:ind w:left="720" w:hanging="720"/>
        <w:rPr>
          <w:noProof/>
        </w:rPr>
      </w:pPr>
      <w:r>
        <w:rPr>
          <w:noProof/>
        </w:rPr>
        <w:t xml:space="preserve">Bruner, J. (1988). </w:t>
      </w:r>
      <w:r w:rsidRPr="00F97185">
        <w:rPr>
          <w:i/>
          <w:noProof/>
        </w:rPr>
        <w:t>Realidad mental y mundos posibles</w:t>
      </w:r>
      <w:r>
        <w:rPr>
          <w:noProof/>
        </w:rPr>
        <w:t>. España: Gedisa.</w:t>
      </w:r>
    </w:p>
    <w:p w:rsidR="006B4A84" w:rsidRDefault="00F3012A" w:rsidP="00F3012A">
      <w:pPr>
        <w:spacing w:after="0" w:line="240" w:lineRule="auto"/>
        <w:ind w:left="720" w:hanging="720"/>
      </w:pPr>
      <w:r>
        <w:rPr>
          <w:noProof/>
        </w:rPr>
        <w:t xml:space="preserve">Feldman, D. (2008). </w:t>
      </w:r>
      <w:r w:rsidRPr="00F97185">
        <w:rPr>
          <w:i/>
          <w:noProof/>
        </w:rPr>
        <w:t>Ayudar a enseñar: relaciones entre didáctica y enseñanza</w:t>
      </w:r>
      <w:r>
        <w:rPr>
          <w:noProof/>
        </w:rPr>
        <w:t>. Buenos Aires: Aique Grupo Editor.</w:t>
      </w:r>
    </w:p>
    <w:sectPr w:rsidR="006B4A84" w:rsidSect="006B4A8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791CBF"/>
    <w:multiLevelType w:val="multilevel"/>
    <w:tmpl w:val="D30290E0"/>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docVars>
    <w:docVar w:name="EN.InstantFormat" w:val="&lt;ENInstantFormat&gt;&lt;Enabled&gt;0&lt;/Enabled&gt;&lt;ScanUnformatted&gt;1&lt;/ScanUnformatted&gt;&lt;ScanChanges&gt;1&lt;/ScanChanges&gt;&lt;/ENInstantFormat&gt;"/>
  </w:docVars>
  <w:rsids>
    <w:rsidRoot w:val="00F3012A"/>
    <w:rsid w:val="000F6B3A"/>
    <w:rsid w:val="00174DBB"/>
    <w:rsid w:val="00245452"/>
    <w:rsid w:val="002F0CDC"/>
    <w:rsid w:val="0039213D"/>
    <w:rsid w:val="0041555F"/>
    <w:rsid w:val="004F42CC"/>
    <w:rsid w:val="0057408B"/>
    <w:rsid w:val="006608A8"/>
    <w:rsid w:val="006B4A84"/>
    <w:rsid w:val="006E6791"/>
    <w:rsid w:val="00710ACA"/>
    <w:rsid w:val="007D3227"/>
    <w:rsid w:val="00823C8C"/>
    <w:rsid w:val="00954905"/>
    <w:rsid w:val="009622AD"/>
    <w:rsid w:val="00992ABB"/>
    <w:rsid w:val="00AC2176"/>
    <w:rsid w:val="00B34CCD"/>
    <w:rsid w:val="00B82499"/>
    <w:rsid w:val="00BC229B"/>
    <w:rsid w:val="00CB1B22"/>
    <w:rsid w:val="00D05EDD"/>
    <w:rsid w:val="00E95568"/>
    <w:rsid w:val="00EF5205"/>
    <w:rsid w:val="00F3012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2A"/>
    <w:pPr>
      <w:spacing w:before="120" w:after="240"/>
      <w:jc w:val="both"/>
    </w:pPr>
    <w:rPr>
      <w:rFonts w:ascii="Calibri" w:hAnsi="Calibri" w:cs="Times New Roman"/>
      <w:sz w:val="24"/>
    </w:rPr>
  </w:style>
  <w:style w:type="paragraph" w:styleId="Ttulo1">
    <w:name w:val="heading 1"/>
    <w:basedOn w:val="Normal"/>
    <w:next w:val="Normal"/>
    <w:link w:val="Ttulo1Car"/>
    <w:qFormat/>
    <w:rsid w:val="00F3012A"/>
    <w:pPr>
      <w:keepNext/>
      <w:keepLines/>
      <w:suppressAutoHyphens/>
      <w:overflowPunct w:val="0"/>
      <w:autoSpaceDE w:val="0"/>
      <w:autoSpaceDN w:val="0"/>
      <w:adjustRightInd w:val="0"/>
      <w:spacing w:before="240"/>
      <w:textAlignment w:val="baseline"/>
      <w:outlineLvl w:val="0"/>
    </w:pPr>
    <w:rPr>
      <w:rFonts w:asciiTheme="minorHAnsi" w:hAnsiTheme="minorHAnsi" w:cstheme="minorBidi"/>
      <w:b/>
      <w:kern w:val="28"/>
      <w:lang w:val="en-US" w:eastAsia="es-ES"/>
    </w:rPr>
  </w:style>
  <w:style w:type="paragraph" w:styleId="Ttulo2">
    <w:name w:val="heading 2"/>
    <w:basedOn w:val="Normal"/>
    <w:next w:val="Normal"/>
    <w:link w:val="Ttulo2Car"/>
    <w:uiPriority w:val="9"/>
    <w:unhideWhenUsed/>
    <w:qFormat/>
    <w:rsid w:val="00F3012A"/>
    <w:pPr>
      <w:keepNext/>
      <w:keepLines/>
      <w:spacing w:after="120"/>
      <w:outlineLvl w:val="1"/>
    </w:pPr>
    <w:rPr>
      <w:rFonts w:asciiTheme="minorHAnsi" w:eastAsia="Times New Roman" w:hAnsiTheme="minorHAnsi" w:cstheme="minorBidi"/>
      <w:b/>
      <w:bCs/>
      <w:sz w:val="26"/>
      <w:szCs w:val="26"/>
    </w:rPr>
  </w:style>
  <w:style w:type="paragraph" w:styleId="Ttulo3">
    <w:name w:val="heading 3"/>
    <w:basedOn w:val="Normal"/>
    <w:next w:val="Normal"/>
    <w:link w:val="Ttulo3Car"/>
    <w:uiPriority w:val="9"/>
    <w:unhideWhenUsed/>
    <w:qFormat/>
    <w:rsid w:val="00F301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2">
    <w:name w:val="Normal 2"/>
    <w:basedOn w:val="Normal"/>
    <w:qFormat/>
    <w:rsid w:val="00F3012A"/>
    <w:pPr>
      <w:ind w:firstLine="567"/>
    </w:pPr>
    <w:rPr>
      <w:lang w:val="es-ES"/>
    </w:rPr>
  </w:style>
  <w:style w:type="character" w:customStyle="1" w:styleId="Ttulo1Car">
    <w:name w:val="Título 1 Car"/>
    <w:basedOn w:val="Fuentedeprrafopredeter"/>
    <w:link w:val="Ttulo1"/>
    <w:rsid w:val="00F3012A"/>
    <w:rPr>
      <w:b/>
      <w:kern w:val="28"/>
      <w:sz w:val="24"/>
      <w:lang w:val="en-US" w:eastAsia="es-ES"/>
    </w:rPr>
  </w:style>
  <w:style w:type="character" w:customStyle="1" w:styleId="Ttulo2Car">
    <w:name w:val="Título 2 Car"/>
    <w:basedOn w:val="Fuentedeprrafopredeter"/>
    <w:link w:val="Ttulo2"/>
    <w:uiPriority w:val="9"/>
    <w:rsid w:val="00F3012A"/>
    <w:rPr>
      <w:rFonts w:eastAsia="Times New Roman"/>
      <w:b/>
      <w:bCs/>
      <w:sz w:val="26"/>
      <w:szCs w:val="26"/>
    </w:rPr>
  </w:style>
  <w:style w:type="character" w:customStyle="1" w:styleId="Ttulo3Car">
    <w:name w:val="Título 3 Car"/>
    <w:basedOn w:val="Fuentedeprrafopredeter"/>
    <w:link w:val="Ttulo3"/>
    <w:uiPriority w:val="9"/>
    <w:rsid w:val="00F3012A"/>
    <w:rPr>
      <w:rFonts w:asciiTheme="majorHAnsi" w:eastAsiaTheme="majorEastAsia" w:hAnsiTheme="majorHAnsi" w:cstheme="majorBidi"/>
      <w:b/>
      <w:bCs/>
      <w:color w:val="4F81BD" w:themeColor="accent1"/>
      <w:sz w:val="24"/>
    </w:rPr>
  </w:style>
  <w:style w:type="paragraph" w:styleId="Ttulo">
    <w:name w:val="Title"/>
    <w:basedOn w:val="Normal"/>
    <w:next w:val="Normal"/>
    <w:link w:val="TtuloCar"/>
    <w:uiPriority w:val="10"/>
    <w:qFormat/>
    <w:rsid w:val="00F3012A"/>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3012A"/>
    <w:rPr>
      <w:rFonts w:asciiTheme="majorHAnsi" w:eastAsiaTheme="majorEastAsia" w:hAnsiTheme="majorHAnsi" w:cstheme="majorBidi"/>
      <w:color w:val="17365D" w:themeColor="text2" w:themeShade="BF"/>
      <w:spacing w:val="5"/>
      <w:kern w:val="28"/>
      <w:sz w:val="52"/>
      <w:szCs w:val="52"/>
    </w:rPr>
  </w:style>
  <w:style w:type="paragraph" w:customStyle="1" w:styleId="MMTitle">
    <w:name w:val="MM Title"/>
    <w:basedOn w:val="Ttulo"/>
    <w:link w:val="MMTitleCar"/>
    <w:rsid w:val="00F3012A"/>
  </w:style>
  <w:style w:type="character" w:customStyle="1" w:styleId="MMTitleCar">
    <w:name w:val="MM Title Car"/>
    <w:basedOn w:val="TtuloCar"/>
    <w:link w:val="MMTitle"/>
    <w:rsid w:val="00F3012A"/>
  </w:style>
  <w:style w:type="paragraph" w:customStyle="1" w:styleId="MMTopic1">
    <w:name w:val="MM Topic 1"/>
    <w:basedOn w:val="Ttulo1"/>
    <w:link w:val="MMTopic1Car"/>
    <w:rsid w:val="00F3012A"/>
    <w:pPr>
      <w:numPr>
        <w:numId w:val="1"/>
      </w:numPr>
    </w:pPr>
  </w:style>
  <w:style w:type="character" w:customStyle="1" w:styleId="MMTopic1Car">
    <w:name w:val="MM Topic 1 Car"/>
    <w:basedOn w:val="Ttulo1Car"/>
    <w:link w:val="MMTopic1"/>
    <w:rsid w:val="00F3012A"/>
  </w:style>
  <w:style w:type="paragraph" w:customStyle="1" w:styleId="MMTopic2">
    <w:name w:val="MM Topic 2"/>
    <w:basedOn w:val="Ttulo2"/>
    <w:link w:val="MMTopic2Car"/>
    <w:rsid w:val="00F3012A"/>
    <w:pPr>
      <w:numPr>
        <w:ilvl w:val="1"/>
        <w:numId w:val="1"/>
      </w:numPr>
    </w:pPr>
  </w:style>
  <w:style w:type="character" w:customStyle="1" w:styleId="MMTopic2Car">
    <w:name w:val="MM Topic 2 Car"/>
    <w:basedOn w:val="Ttulo2Car"/>
    <w:link w:val="MMTopic2"/>
    <w:rsid w:val="00F3012A"/>
  </w:style>
  <w:style w:type="paragraph" w:customStyle="1" w:styleId="MMTopic3">
    <w:name w:val="MM Topic 3"/>
    <w:basedOn w:val="Ttulo3"/>
    <w:link w:val="MMTopic3Car"/>
    <w:rsid w:val="00F3012A"/>
    <w:pPr>
      <w:numPr>
        <w:ilvl w:val="2"/>
        <w:numId w:val="1"/>
      </w:numPr>
    </w:pPr>
  </w:style>
  <w:style w:type="character" w:customStyle="1" w:styleId="MMTopic3Car">
    <w:name w:val="MM Topic 3 Car"/>
    <w:basedOn w:val="Ttulo3Car"/>
    <w:link w:val="MMTopic3"/>
    <w:rsid w:val="00F3012A"/>
  </w:style>
  <w:style w:type="paragraph" w:customStyle="1" w:styleId="MMEmpty">
    <w:name w:val="MM Empty"/>
    <w:basedOn w:val="Normal"/>
    <w:link w:val="MMEmptyCar"/>
    <w:rsid w:val="00F3012A"/>
  </w:style>
  <w:style w:type="character" w:customStyle="1" w:styleId="MMEmptyCar">
    <w:name w:val="MM Empty Car"/>
    <w:basedOn w:val="Fuentedeprrafopredeter"/>
    <w:link w:val="MMEmpty"/>
    <w:rsid w:val="00F3012A"/>
    <w:rPr>
      <w:rFonts w:ascii="Calibri" w:hAnsi="Calibri" w:cs="Times New Roman"/>
      <w:sz w:val="24"/>
    </w:rPr>
  </w:style>
  <w:style w:type="character" w:styleId="Hipervnculo">
    <w:name w:val="Hyperlink"/>
    <w:basedOn w:val="Fuentedeprrafopredeter"/>
    <w:uiPriority w:val="99"/>
    <w:unhideWhenUsed/>
    <w:rsid w:val="00F3012A"/>
    <w:rPr>
      <w:color w:val="0000FF" w:themeColor="hyperlink"/>
      <w:u w:val="single"/>
    </w:rPr>
  </w:style>
  <w:style w:type="character" w:styleId="Hipervnculovisitado">
    <w:name w:val="FollowedHyperlink"/>
    <w:basedOn w:val="Fuentedeprrafopredeter"/>
    <w:uiPriority w:val="99"/>
    <w:semiHidden/>
    <w:unhideWhenUsed/>
    <w:rsid w:val="00F3012A"/>
    <w:rPr>
      <w:color w:val="800080" w:themeColor="followedHyperlink"/>
      <w:u w:val="single"/>
    </w:rPr>
  </w:style>
  <w:style w:type="character" w:styleId="Refdecomentario">
    <w:name w:val="annotation reference"/>
    <w:basedOn w:val="Fuentedeprrafopredeter"/>
    <w:rsid w:val="00F3012A"/>
    <w:rPr>
      <w:sz w:val="18"/>
      <w:szCs w:val="18"/>
    </w:rPr>
  </w:style>
  <w:style w:type="paragraph" w:styleId="Textocomentario">
    <w:name w:val="annotation text"/>
    <w:basedOn w:val="Normal"/>
    <w:link w:val="TextocomentarioCar"/>
    <w:rsid w:val="00F3012A"/>
    <w:pPr>
      <w:spacing w:before="0" w:after="0" w:line="240" w:lineRule="auto"/>
      <w:jc w:val="left"/>
    </w:pPr>
    <w:rPr>
      <w:rFonts w:ascii="Times" w:eastAsia="Times" w:hAnsi="Times"/>
      <w:szCs w:val="24"/>
      <w:lang w:val="es-ES_tradnl" w:eastAsia="es-ES"/>
    </w:rPr>
  </w:style>
  <w:style w:type="character" w:customStyle="1" w:styleId="TextocomentarioCar">
    <w:name w:val="Texto comentario Car"/>
    <w:basedOn w:val="Fuentedeprrafopredeter"/>
    <w:link w:val="Textocomentario"/>
    <w:rsid w:val="00F3012A"/>
    <w:rPr>
      <w:rFonts w:ascii="Times" w:eastAsia="Times" w:hAnsi="Times" w:cs="Times New Roman"/>
      <w:sz w:val="24"/>
      <w:szCs w:val="24"/>
      <w:lang w:val="es-ES_tradnl" w:eastAsia="es-ES"/>
    </w:rPr>
  </w:style>
  <w:style w:type="paragraph" w:styleId="Textodeglobo">
    <w:name w:val="Balloon Text"/>
    <w:basedOn w:val="Normal"/>
    <w:link w:val="TextodegloboCar"/>
    <w:uiPriority w:val="99"/>
    <w:semiHidden/>
    <w:unhideWhenUsed/>
    <w:rsid w:val="00F3012A"/>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012A"/>
    <w:rPr>
      <w:rFonts w:ascii="Tahoma" w:hAnsi="Tahoma" w:cs="Tahoma"/>
      <w:sz w:val="16"/>
      <w:szCs w:val="16"/>
    </w:rPr>
  </w:style>
  <w:style w:type="paragraph" w:styleId="Textonotapie">
    <w:name w:val="footnote text"/>
    <w:basedOn w:val="Normal"/>
    <w:link w:val="TextonotapieCar"/>
    <w:semiHidden/>
    <w:rsid w:val="00F3012A"/>
    <w:pPr>
      <w:spacing w:before="0" w:after="0" w:line="240" w:lineRule="auto"/>
    </w:pPr>
    <w:rPr>
      <w:rFonts w:ascii="Times" w:eastAsia="Times" w:hAnsi="Times"/>
      <w:sz w:val="22"/>
      <w:szCs w:val="20"/>
      <w:lang w:val="es-ES_tradnl" w:eastAsia="es-ES"/>
    </w:rPr>
  </w:style>
  <w:style w:type="character" w:customStyle="1" w:styleId="TextonotapieCar">
    <w:name w:val="Texto nota pie Car"/>
    <w:basedOn w:val="Fuentedeprrafopredeter"/>
    <w:link w:val="Textonotapie"/>
    <w:semiHidden/>
    <w:rsid w:val="00F3012A"/>
    <w:rPr>
      <w:rFonts w:ascii="Times" w:eastAsia="Times" w:hAnsi="Times" w:cs="Times New Roman"/>
      <w:szCs w:val="20"/>
      <w:lang w:val="es-ES_tradnl" w:eastAsia="es-ES"/>
    </w:rPr>
  </w:style>
  <w:style w:type="character" w:styleId="Refdenotaalpie">
    <w:name w:val="footnote reference"/>
    <w:basedOn w:val="Fuentedeprrafopredeter"/>
    <w:semiHidden/>
    <w:rsid w:val="00F3012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Reconceptualizacion%20didactica.cmap" TargetMode="External"/><Relationship Id="rId13" Type="http://schemas.openxmlformats.org/officeDocument/2006/relationships/hyperlink" Target="Modalidades%20del%20pensamiento.cmap" TargetMode="External"/><Relationship Id="rId3" Type="http://schemas.openxmlformats.org/officeDocument/2006/relationships/settings" Target="settings.xml"/><Relationship Id="rId7" Type="http://schemas.openxmlformats.org/officeDocument/2006/relationships/hyperlink" Target="Sistema%20de%20significado.cmap" TargetMode="External"/><Relationship Id="rId12" Type="http://schemas.openxmlformats.org/officeDocument/2006/relationships/hyperlink" Target="Modalidad%20Tecnica.cma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cepto%20de%20desarrollo%20en%20Vygotski.cmap" TargetMode="External"/><Relationship Id="rId11" Type="http://schemas.openxmlformats.org/officeDocument/2006/relationships/hyperlink" Target="Sistema%20de%20significado.cmap" TargetMode="External"/><Relationship Id="rId5" Type="http://schemas.openxmlformats.org/officeDocument/2006/relationships/hyperlink" Target="Mediacion.cmap" TargetMode="External"/><Relationship Id="rId15" Type="http://schemas.openxmlformats.org/officeDocument/2006/relationships/hyperlink" Target="Modalidad%20Practica.cmap" TargetMode="External"/><Relationship Id="rId10" Type="http://schemas.openxmlformats.org/officeDocument/2006/relationships/hyperlink" Target="Modalidad%20Practica.cmap" TargetMode="External"/><Relationship Id="rId4" Type="http://schemas.openxmlformats.org/officeDocument/2006/relationships/webSettings" Target="webSettings.xml"/><Relationship Id="rId9" Type="http://schemas.openxmlformats.org/officeDocument/2006/relationships/hyperlink" Target="Modalidad%20Tecnica.cmap" TargetMode="External"/><Relationship Id="rId14" Type="http://schemas.openxmlformats.org/officeDocument/2006/relationships/hyperlink" Target="Modalidad%20Tecnica.cma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907</Words>
  <Characters>4992</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dc:creator>
  <cp:lastModifiedBy>Jesus</cp:lastModifiedBy>
  <cp:revision>12</cp:revision>
  <dcterms:created xsi:type="dcterms:W3CDTF">2011-06-21T00:12:00Z</dcterms:created>
  <dcterms:modified xsi:type="dcterms:W3CDTF">2011-06-21T03:40:00Z</dcterms:modified>
</cp:coreProperties>
</file>