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17" w:rsidRDefault="00186D17" w:rsidP="00186D17">
      <w:r>
        <w:t xml:space="preserve">Tomado de Aguilar Tamayo y </w:t>
      </w:r>
      <w:proofErr w:type="spellStart"/>
      <w:r>
        <w:t>Mahn</w:t>
      </w:r>
      <w:proofErr w:type="spellEnd"/>
      <w:r>
        <w:t xml:space="preserve"> (2011 en prensa), p. 9</w:t>
      </w:r>
    </w:p>
    <w:p w:rsidR="00186D17" w:rsidRDefault="00186D17" w:rsidP="00186D17">
      <w:r>
        <w:t xml:space="preserve">De manera análoga al concepto de “utillaje mental” de Chartier, podemos observar un concepto similar en </w:t>
      </w:r>
      <w:proofErr w:type="spellStart"/>
      <w:r>
        <w:t>Vygotski</w:t>
      </w:r>
      <w:proofErr w:type="spellEnd"/>
      <w:r>
        <w:t xml:space="preserve">: </w:t>
      </w:r>
    </w:p>
    <w:p w:rsidR="00186D17" w:rsidRDefault="00186D17" w:rsidP="00186D17">
      <w:pPr>
        <w:pStyle w:val="Normal2"/>
      </w:pPr>
      <w:r w:rsidRPr="006F7417">
        <w:t xml:space="preserve">En otro campo, </w:t>
      </w:r>
      <w:proofErr w:type="spellStart"/>
      <w:r w:rsidRPr="006F7417">
        <w:t>Vygotski</w:t>
      </w:r>
      <w:proofErr w:type="spellEnd"/>
      <w:r w:rsidRPr="006F7417">
        <w:t xml:space="preserve"> </w:t>
      </w:r>
      <w:r w:rsidR="00B55C9B" w:rsidRPr="006F7417">
        <w:fldChar w:fldCharType="begin"/>
      </w:r>
      <w:r>
        <w:instrText xml:space="preserve"> ADDIN EN.CITE &lt;EndNote&gt;&lt;Cite ExcludeAuth="1"&gt;&lt;Author&gt;Vygotski&lt;/Author&gt;&lt;Year&gt;1934/2007&lt;/Year&gt;&lt;RecNum&gt;821&lt;/RecNum&gt;&lt;record&gt;&lt;rec-number&gt;821&lt;/rec-number&gt;&lt;foreign-keys&gt;&lt;key app="EN" db-id="efd5fefpq9920pe5r9dvrexhxasfeza5ta9r"&gt;821&lt;/key&gt;&lt;/foreign-keys&gt;&lt;ref-type name="Book"&gt;6&lt;/ref-type&gt;&lt;contributors&gt;&lt;authors&gt;&lt;author&gt;Vygotski, L. S.&lt;/author&gt;&lt;/authors&gt;&lt;/contributors&gt;&lt;titles&gt;&lt;title&gt;Pensamiento y Habla&lt;/title&gt;&lt;/titles&gt;&lt;dates&gt;&lt;year&gt;1934/2007&lt;/year&gt;&lt;/dates&gt;&lt;pub-location&gt;Argentina&lt;/pub-location&gt;&lt;publisher&gt;Colihue&lt;/publisher&gt;&lt;urls&gt;&lt;/urls&gt;&lt;/record&gt;&lt;/Cite&gt;&lt;/EndNote&gt;</w:instrText>
      </w:r>
      <w:r w:rsidR="00B55C9B" w:rsidRPr="006F7417">
        <w:fldChar w:fldCharType="separate"/>
      </w:r>
      <w:r w:rsidRPr="006F7417">
        <w:rPr>
          <w:noProof/>
        </w:rPr>
        <w:t>(1934/2007)</w:t>
      </w:r>
      <w:r w:rsidR="00B55C9B" w:rsidRPr="006F7417">
        <w:fldChar w:fldCharType="end"/>
      </w:r>
      <w:r w:rsidRPr="006F7417">
        <w:t xml:space="preserve"> aborda los </w:t>
      </w:r>
      <w:r w:rsidRPr="006F7417">
        <w:rPr>
          <w:i/>
        </w:rPr>
        <w:t>modos de pensamiento</w:t>
      </w:r>
      <w:r w:rsidRPr="006F7417">
        <w:t xml:space="preserve"> como una relación entre el desarrollo de estructuras de generalización y el contexto en la cual el sujeto realiza su actividad intelectual, por ello, el autor advierte que generalmente, para la resolución de problemas de lo cotidiano, el sujeto utiliza </w:t>
      </w:r>
      <w:proofErr w:type="spellStart"/>
      <w:r w:rsidRPr="006F7417">
        <w:t>pesudoconceptos</w:t>
      </w:r>
      <w:proofErr w:type="spellEnd"/>
      <w:r w:rsidRPr="006F7417">
        <w:t xml:space="preserve"> como mediadores de actividad psicológica, mientras que en el plano del problema científico deben operarse con conceptos o los “verdaderos conceptos”, mediadores también de la actividad psicológica que integra el uso de conceptos académicos junto a estructuras de generalización con cualidades distintas a aquellas que operan con </w:t>
      </w:r>
      <w:proofErr w:type="spellStart"/>
      <w:r w:rsidRPr="006F7417">
        <w:t>pesudoconceptos</w:t>
      </w:r>
      <w:proofErr w:type="spellEnd"/>
      <w:r w:rsidRPr="006F7417">
        <w:t xml:space="preserve">. Los </w:t>
      </w:r>
      <w:r w:rsidRPr="00186D17">
        <w:rPr>
          <w:color w:val="FF0000"/>
        </w:rPr>
        <w:t>conceptos académicos</w:t>
      </w:r>
      <w:r w:rsidRPr="006F7417">
        <w:t xml:space="preserve"> </w:t>
      </w:r>
      <w:r>
        <w:t>son parte de un</w:t>
      </w:r>
      <w:r w:rsidRPr="006F7417">
        <w:t xml:space="preserve"> </w:t>
      </w:r>
      <w:r w:rsidRPr="00186D17">
        <w:rPr>
          <w:color w:val="FF0000"/>
        </w:rPr>
        <w:t>recurso cultural</w:t>
      </w:r>
      <w:r w:rsidRPr="006F7417">
        <w:t xml:space="preserve">, cómo aquellos a los que Chartier se refiere como </w:t>
      </w:r>
      <w:r w:rsidRPr="00186D17">
        <w:rPr>
          <w:color w:val="FF0000"/>
        </w:rPr>
        <w:t>útiles mentales</w:t>
      </w:r>
      <w:r w:rsidRPr="006F7417">
        <w:t xml:space="preserve">. </w:t>
      </w:r>
    </w:p>
    <w:p w:rsidR="00916C0D" w:rsidRDefault="00916C0D" w:rsidP="00186D17">
      <w:pPr>
        <w:pStyle w:val="Normal2"/>
      </w:pPr>
      <w:hyperlink r:id="rId4" w:history="1">
        <w:r w:rsidRPr="00916C0D">
          <w:rPr>
            <w:rStyle w:val="Hipervnculo"/>
          </w:rPr>
          <w:t xml:space="preserve">Tamayo y </w:t>
        </w:r>
        <w:proofErr w:type="spellStart"/>
        <w:r w:rsidRPr="00916C0D">
          <w:rPr>
            <w:rStyle w:val="Hipervnculo"/>
          </w:rPr>
          <w:t>Mahn</w:t>
        </w:r>
        <w:proofErr w:type="spellEnd"/>
        <w:r w:rsidRPr="00916C0D">
          <w:rPr>
            <w:rStyle w:val="Hipervnculo"/>
          </w:rPr>
          <w:t xml:space="preserve">\Modalidades del </w:t>
        </w:r>
        <w:proofErr w:type="spellStart"/>
        <w:r w:rsidRPr="00916C0D">
          <w:rPr>
            <w:rStyle w:val="Hipervnculo"/>
          </w:rPr>
          <w:t>p</w:t>
        </w:r>
        <w:r w:rsidRPr="00916C0D">
          <w:rPr>
            <w:rStyle w:val="Hipervnculo"/>
          </w:rPr>
          <w:t>ensamiento.cmap</w:t>
        </w:r>
        <w:proofErr w:type="spellEnd"/>
      </w:hyperlink>
      <w:r>
        <w:t xml:space="preserve"> </w:t>
      </w:r>
    </w:p>
    <w:p w:rsidR="00916C0D" w:rsidRPr="006F7417" w:rsidRDefault="00916C0D" w:rsidP="00186D17">
      <w:pPr>
        <w:pStyle w:val="Normal2"/>
      </w:pPr>
    </w:p>
    <w:p w:rsidR="006B4A84" w:rsidRDefault="006B4A84" w:rsidP="00186D17"/>
    <w:sectPr w:rsidR="006B4A84" w:rsidSect="006B4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86D17"/>
    <w:rsid w:val="00186D17"/>
    <w:rsid w:val="00245452"/>
    <w:rsid w:val="0041555F"/>
    <w:rsid w:val="0057408B"/>
    <w:rsid w:val="006608A8"/>
    <w:rsid w:val="006B4A84"/>
    <w:rsid w:val="006E6791"/>
    <w:rsid w:val="007333B2"/>
    <w:rsid w:val="007D3227"/>
    <w:rsid w:val="00916C0D"/>
    <w:rsid w:val="00AC2176"/>
    <w:rsid w:val="00B34CCD"/>
    <w:rsid w:val="00B55C9B"/>
    <w:rsid w:val="00CB1B22"/>
    <w:rsid w:val="00D05EDD"/>
    <w:rsid w:val="00E9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DD"/>
    <w:pPr>
      <w:spacing w:before="120" w:after="240"/>
      <w:jc w:val="both"/>
    </w:pPr>
    <w:rPr>
      <w:rFonts w:ascii="Calibri" w:hAnsi="Calibri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D05EDD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inorHAnsi" w:hAnsiTheme="minorHAnsi" w:cstheme="minorBidi"/>
      <w:b/>
      <w:kern w:val="28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B22"/>
    <w:pPr>
      <w:keepNext/>
      <w:keepLines/>
      <w:spacing w:after="120"/>
      <w:outlineLvl w:val="1"/>
    </w:pPr>
    <w:rPr>
      <w:rFonts w:asciiTheme="minorHAnsi" w:eastAsia="Times New Roman" w:hAnsiTheme="minorHAnsi" w:cstheme="min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 2"/>
    <w:basedOn w:val="Normal"/>
    <w:qFormat/>
    <w:rsid w:val="00D05EDD"/>
    <w:pPr>
      <w:ind w:firstLine="567"/>
    </w:pPr>
    <w:rPr>
      <w:lang w:val="es-ES"/>
    </w:rPr>
  </w:style>
  <w:style w:type="character" w:customStyle="1" w:styleId="Ttulo1Car">
    <w:name w:val="Título 1 Car"/>
    <w:basedOn w:val="Fuentedeprrafopredeter"/>
    <w:link w:val="Ttulo1"/>
    <w:rsid w:val="00D05EDD"/>
    <w:rPr>
      <w:b/>
      <w:kern w:val="28"/>
      <w:sz w:val="24"/>
      <w:szCs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B1B22"/>
    <w:rPr>
      <w:rFonts w:asciiTheme="minorHAnsi" w:eastAsia="Times New Roman" w:hAnsiTheme="minorHAnsi"/>
      <w:b/>
      <w:bCs/>
      <w:sz w:val="26"/>
      <w:szCs w:val="26"/>
      <w:lang w:eastAsia="en-US"/>
    </w:rPr>
  </w:style>
  <w:style w:type="paragraph" w:customStyle="1" w:styleId="Default">
    <w:name w:val="Default"/>
    <w:rsid w:val="00186D17"/>
    <w:pPr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916C0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6C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amayo%20y%20Mahn/Modalidades%20del%20pensamiento.c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2</cp:revision>
  <dcterms:created xsi:type="dcterms:W3CDTF">2011-06-14T21:15:00Z</dcterms:created>
  <dcterms:modified xsi:type="dcterms:W3CDTF">2011-06-14T21:27:00Z</dcterms:modified>
</cp:coreProperties>
</file>