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bookmarkStart w:id="0" w:name="_GoBack"/>
      <w:r>
        <w:rPr>
          <w:rStyle w:val="A1"/>
          <w:b/>
          <w:bCs/>
        </w:rPr>
        <w:t xml:space="preserve">Unidad de competencia </w:t>
      </w:r>
      <w:r>
        <w:rPr>
          <w:rStyle w:val="A1"/>
        </w:rPr>
        <w:t>1</w:t>
      </w:r>
    </w:p>
    <w:bookmarkEnd w:id="0"/>
    <w:p w:rsidR="003B2119" w:rsidRDefault="003B2119" w:rsidP="003B2119">
      <w:pPr>
        <w:pStyle w:val="Pa234"/>
        <w:spacing w:before="100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 xml:space="preserve">Denominación: </w:t>
      </w:r>
      <w:r>
        <w:rPr>
          <w:rStyle w:val="A1"/>
        </w:rPr>
        <w:t>DESARROLLAR PROYECTOS DE PRODUCTOS GRÁFICOS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 xml:space="preserve">Nivel: </w:t>
      </w:r>
      <w:r>
        <w:rPr>
          <w:rStyle w:val="A1"/>
        </w:rPr>
        <w:t>3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 xml:space="preserve">Código: </w:t>
      </w:r>
      <w:r>
        <w:rPr>
          <w:rStyle w:val="A1"/>
        </w:rPr>
        <w:t>UC0696_3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Realizaciones profesionales y criterios de realización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RP1: Determinar los requisitos del cliente relativos al proyecto gráfico recogiéndolos en el informe registro</w:t>
      </w:r>
      <w:proofErr w:type="gramStart"/>
      <w:r>
        <w:rPr>
          <w:rStyle w:val="A1"/>
        </w:rPr>
        <w:t>,teniendo</w:t>
      </w:r>
      <w:proofErr w:type="gramEnd"/>
      <w:r>
        <w:rPr>
          <w:rStyle w:val="A1"/>
        </w:rPr>
        <w:t xml:space="preserve"> en cuenta el estudio de necesidades.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CR1.1 Las pautas y el formato del modelo para la recogida de datos e información se determinan previamente, posibilitando el registro ordenado de las indicaciones del cliente.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CR1.2 El tipo de producto gráfico a desarrollar: comunicación, editorial, envase y embalaje, y el número de ejemplares o de reproducciones, se establecen claramente con el cliente en función de los objetivos y las condiciones económicas.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CR1.3 Los datos sobre el cliente que efectúa el encargo contemplan la gama de productos, el tipo de servicios ofertados y la imagen corporativa: logotipo, colores corporativos, manual y normas de identidad corporativa.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CR1.4 Los datos sobre el público objetivo describen: nivel socio-económico, edad, sexo, hábitos, actitudes y motivaciones; estudios de mercado y breve valoración de la competencia.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CR1.5 Los textos, ilustraciones o imágenes se concretan con el cliente determinando los que se aportan y los que se deben crear.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CR1.6 Los colores se especifican con el cliente utilizando muestras, medidas colorimétricas o referencias de fabricantes.</w:t>
      </w:r>
    </w:p>
    <w:p w:rsidR="00075DA1" w:rsidRDefault="003B2119" w:rsidP="003B2119">
      <w:pPr>
        <w:rPr>
          <w:rStyle w:val="A1"/>
        </w:rPr>
      </w:pPr>
      <w:r>
        <w:rPr>
          <w:rStyle w:val="A1"/>
        </w:rPr>
        <w:t>CR1.7 Los requisitos de información mínimos contemplan según el tipo de producto: etiquetado, código de barras, composición y fecha de caducidad.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CR1.8 Las características del producto que vaya a contener el envase y/o embalaje a diseñar se registran teniendo en cuenta la naturaleza, estado físico, soporte, tamaño, forma y toxicidad, indicando las características del marcaje a realizar.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CR1.9 El informe registro incluye, además, bocetos, croquis y muestras de cualquier otra información gráfica aportada por el cliente.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CR1.10 El contenido del informe registro se revisa con el cliente, comprobando que se dispone de toda la información y especificaciones necesarias para el desarrollo del proyecto.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RP2: Determinar las características técnicas según el tipo de producto gráfico, de comunicación, editorial, envase o embalaje, con objeto de definir las instrucciones para la realización.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CR2.1 El tipo de soporte, el número de tintas y los sistemas de impresión a utilizar se ajustan a los objetivos, a las limitaciones presupuestarias y a la calidad del trabajo deseada.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CR2.2 Los formatos son compatibles con el tipo de soporte y el sistema de impresión elegido.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CR2.3 Las condiciones de corte, hendido y plegado, se establecen en función del espesor y dimensiones del soporte.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CR2.4 Los acabados se eligen en función de las condiciones de uso y las características del proceso, negociándolos con el cliente.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CR2.5 La distribución de elementos o las condiciones de compaginación se determinan en función del tipo de producto gráfico, la línea editorial y las condiciones técnicas y económicas del proceso.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CR2.6 La selección de tintas, soportes y acabados se realiza teniendo en cuenta requisitos legales, sanitarios, medioambientales, condiciones de uso y peligrosidad.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CR2.7 Los factores estructurales tienen en cuenta la resistencia, hermeticidad, cierre, inviolabilidad, dispensación, ergonomía, versatilidad y protección contra la falsificación.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CR2.8 Las instrucciones relativas a las características técnicas del producto se recogen por escrito de forma breve y clara.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RP3: Dibujar esbozos de productos gráficos teniendo en cuenta las características y parámetros técnicos y estéticos del producto para su posterior desarrollo.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CR3.1 El formato es adecuado al objetivo perseguido y al sistema de distribución o de impresión elegido.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lastRenderedPageBreak/>
        <w:t>CR3.2 Los elementos gráficos se distribuyen armónicamente respetando el espacio-formato en la composición.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CR3.3 Los objetos se dibujan teniendo en cuenta las técnicas de representación y la normalización.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CR3.4 Los objetos se dibujan manteniendo la proporción deseada.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CR3.5 Los bocetos a mano alzada se ejecutan manteniendo la proporción de los objetos representados.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CR3.6 Las líneas se ejecutan de una sola vez con trazos limpios y uniformes.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CR3.7 Los espesores de líneas se ejecutan teniendo presente las normas y los efectos deseados.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CR3.8 Las sombras y difuminados se aplican teniendo en cuenta las limitaciones del sistema de impresión o de salida.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RP4: Desarrollar bocetos para la aprobación del cliente, aplicando las instrucciones para la realización y los principios básicos del diseño gráfico.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CR4.1 La síntesis visual integra los elementos técnicos conjugando ideas y materiales.</w:t>
      </w:r>
    </w:p>
    <w:p w:rsidR="003B2119" w:rsidRDefault="003B2119" w:rsidP="003B2119">
      <w:pPr>
        <w:ind w:left="700"/>
        <w:rPr>
          <w:rStyle w:val="A1"/>
        </w:rPr>
      </w:pPr>
      <w:r>
        <w:rPr>
          <w:rStyle w:val="A1"/>
        </w:rPr>
        <w:t>CR4.2 Los principios de asociación psicológica, proximidad, semejanza, continuidad y simetría material y cultural, se tienen en cuenta en el diseño.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CR4.3 El discurso visual y la gráfica se comprenden, son estéticos y reflejan con sencillez las ideas subyacentes.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CR4.4 El impacto visual de los elementos gráficos se consigue introduciendo elementos innovadores, de información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proofErr w:type="gramStart"/>
      <w:r>
        <w:rPr>
          <w:rStyle w:val="A1"/>
        </w:rPr>
        <w:t>cultural</w:t>
      </w:r>
      <w:proofErr w:type="gramEnd"/>
      <w:r>
        <w:rPr>
          <w:rStyle w:val="A1"/>
        </w:rPr>
        <w:t xml:space="preserve"> y/o contextual y trabajando la escala, el movimiento, el color y el contraste.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CR4.5 La composición respeta los principios de proporción, equilibrio, referencia, simetría, armonía, tensión y ritmo.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CR4.6 El correcto manejo del color se consigue aplicando la teoría del color y los principios de armonía, el contraste, la saturación y la proporción inversa.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CR4.7 Los contrastes de color respetan las condiciones de legibilidad.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CR4.8 La disposición de los textos tiene en cuenta las condiciones ergonómicas, hábitos de lectura y lógica visual: jerarquización, coherencia y significado.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CR4.9 El diseño desarrollado en el boceto es apto para la reproducción.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RP5: Elaborar el presupuesto de proyectos gráficos a partir de las características técnicas, los plazos de entrega y las condiciones del mercado.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CR5.1 El presupuesto se elabora teniendo en cuenta los costes de creación, fabricación, distribución y los derechos de propiedad intelectual y patentes o licencias.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CR5.2 El presupuesto de impresión se solicita especificando plazos de entrega, tamaño, número de imágenes y color, tipo de pruebas y formatos de entrega.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CR5.3 El presupuesto de postimpresión se solicita indicando plazos de entrega, número de pliegos, tipo de encuadernación, manipulados, peliculados y empaquetado.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CR5.4 Los estándares gráficos se especifican en los presupuestos para su posterior verificación.</w:t>
      </w:r>
    </w:p>
    <w:p w:rsidR="003B2119" w:rsidRDefault="003B2119" w:rsidP="003B2119">
      <w:pPr>
        <w:pStyle w:val="Pa24"/>
        <w:ind w:left="700"/>
        <w:jc w:val="both"/>
        <w:rPr>
          <w:color w:val="000000"/>
          <w:sz w:val="20"/>
          <w:szCs w:val="20"/>
        </w:rPr>
      </w:pPr>
      <w:r>
        <w:rPr>
          <w:rStyle w:val="A1"/>
        </w:rPr>
        <w:t>CR5.5 El presupuesto de creación se elabora teniendo en cuenta las tarifas de honorarios recomendadas por las asociaciones profesionales, las condiciones de mercado y las tarifas de la empresa del diseñador.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Contexto profesional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Medios de producción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Equipos y software de diseño gráfico. Software de presentaciones. Software de tratamiento de imágenes.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Software de confección de presupuestos. Periféricos de impresión. Útiles e instrumentos de bocetado y dibujo.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Productos y resultados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Informe registro. Instrucciones para la realización y órdenes de fabricación. Esbozos de productos gráficos.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Bocetos de productos gráficos de comunicación. Bocetos editoriales. Bocetos de envases y embalajes.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Ilustraciones, textos, presupuestos.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  <w:b/>
          <w:bCs/>
        </w:rPr>
        <w:t>Información utilizada o generada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r>
        <w:rPr>
          <w:rStyle w:val="A1"/>
        </w:rPr>
        <w:t>Estudio de necesidades. Normalización, legislación sobre derechos de la propiedad intelectual. Presupuesto</w:t>
      </w:r>
    </w:p>
    <w:p w:rsidR="003B2119" w:rsidRDefault="003B2119" w:rsidP="003B2119">
      <w:pPr>
        <w:pStyle w:val="Pa48"/>
        <w:ind w:left="340"/>
        <w:jc w:val="both"/>
        <w:rPr>
          <w:color w:val="000000"/>
          <w:sz w:val="20"/>
          <w:szCs w:val="20"/>
        </w:rPr>
      </w:pPr>
      <w:proofErr w:type="gramStart"/>
      <w:r>
        <w:rPr>
          <w:rStyle w:val="A1"/>
        </w:rPr>
        <w:lastRenderedPageBreak/>
        <w:t>de</w:t>
      </w:r>
      <w:proofErr w:type="gramEnd"/>
      <w:r>
        <w:rPr>
          <w:rStyle w:val="A1"/>
        </w:rPr>
        <w:t xml:space="preserve"> impresión. Presupuesto de postimpresión. Tarifas de asociaciones profesionales. Plazos de entrega.</w:t>
      </w:r>
    </w:p>
    <w:p w:rsidR="003B2119" w:rsidRDefault="003B2119" w:rsidP="003B2119">
      <w:pPr>
        <w:ind w:left="340"/>
      </w:pPr>
      <w:r>
        <w:rPr>
          <w:rStyle w:val="A1"/>
        </w:rPr>
        <w:t>Originales. Muestras de color. Muestras de soportes. Catálogos. Indicaciones del cliente, bocetos, croquis.</w:t>
      </w:r>
    </w:p>
    <w:sectPr w:rsidR="003B2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17"/>
    <w:rsid w:val="00075DA1"/>
    <w:rsid w:val="00256817"/>
    <w:rsid w:val="003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8">
    <w:name w:val="Pa48"/>
    <w:basedOn w:val="Normal"/>
    <w:next w:val="Normal"/>
    <w:uiPriority w:val="99"/>
    <w:rsid w:val="003B2119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3B2119"/>
    <w:rPr>
      <w:color w:val="000000"/>
      <w:sz w:val="20"/>
      <w:szCs w:val="20"/>
    </w:rPr>
  </w:style>
  <w:style w:type="paragraph" w:customStyle="1" w:styleId="Pa234">
    <w:name w:val="Pa234"/>
    <w:basedOn w:val="Normal"/>
    <w:next w:val="Normal"/>
    <w:uiPriority w:val="99"/>
    <w:rsid w:val="003B2119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3B2119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8">
    <w:name w:val="Pa48"/>
    <w:basedOn w:val="Normal"/>
    <w:next w:val="Normal"/>
    <w:uiPriority w:val="99"/>
    <w:rsid w:val="003B2119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3B2119"/>
    <w:rPr>
      <w:color w:val="000000"/>
      <w:sz w:val="20"/>
      <w:szCs w:val="20"/>
    </w:rPr>
  </w:style>
  <w:style w:type="paragraph" w:customStyle="1" w:styleId="Pa234">
    <w:name w:val="Pa234"/>
    <w:basedOn w:val="Normal"/>
    <w:next w:val="Normal"/>
    <w:uiPriority w:val="99"/>
    <w:rsid w:val="003B2119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3B2119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2015-08-07T15:37:00Z</dcterms:created>
  <dcterms:modified xsi:type="dcterms:W3CDTF">2015-08-07T15:37:00Z</dcterms:modified>
</cp:coreProperties>
</file>