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tbl>
      <w:tblPr>
        <w:tblW w:w="14528" w:type="dxa"/>
        <w:tblCellMar>
          <w:left w:w="0" w:type="dxa"/>
          <w:right w:w="0" w:type="dxa"/>
        </w:tblCellMar>
        <w:tblLook w:val="04A0" w:firstRow="1" w:lastRow="0" w:firstColumn="1" w:lastColumn="0" w:noHBand="0" w:noVBand="1"/>
      </w:tblPr>
      <w:tblGrid>
        <w:gridCol w:w="2273"/>
        <w:gridCol w:w="12255"/>
      </w:tblGrid>
      <w:tr w:rsidR="003A32A6" w:rsidRPr="003A32A6" w:rsidTr="003A32A6">
        <w:trPr>
          <w:trHeight w:val="4789"/>
        </w:trPr>
        <w:tc>
          <w:tcPr>
            <w:tcW w:w="2273" w:type="dxa"/>
            <w:tcBorders>
              <w:top w:val="single" w:sz="8" w:space="0" w:color="F79646"/>
              <w:left w:val="single" w:sz="8" w:space="0" w:color="F79646"/>
              <w:bottom w:val="single" w:sz="18" w:space="0" w:color="F79646"/>
              <w:right w:val="single" w:sz="8" w:space="0" w:color="F79646"/>
            </w:tcBorders>
            <w:shd w:val="clear" w:color="auto" w:fill="auto"/>
            <w:tcMar>
              <w:top w:w="15" w:type="dxa"/>
              <w:left w:w="65" w:type="dxa"/>
              <w:bottom w:w="0" w:type="dxa"/>
              <w:right w:w="65" w:type="dxa"/>
            </w:tcMar>
            <w:hideMark/>
          </w:tcPr>
          <w:p w:rsidR="003A32A6" w:rsidRPr="003A32A6" w:rsidRDefault="003A32A6" w:rsidP="003A32A6">
            <w:pPr>
              <w:spacing w:after="0"/>
              <w:jc w:val="both"/>
              <w:rPr>
                <w:rFonts w:ascii="Arial" w:eastAsia="Times New Roman" w:hAnsi="Arial" w:cs="Arial"/>
                <w:lang w:eastAsia="es-ES"/>
              </w:rPr>
            </w:pPr>
            <w:r w:rsidRPr="003A32A6">
              <w:rPr>
                <w:rFonts w:ascii="Arial" w:eastAsia="Times New Roman" w:hAnsi="Arial" w:cs="Arial"/>
                <w:b/>
                <w:bCs/>
                <w:color w:val="000000" w:themeColor="text1"/>
                <w:kern w:val="24"/>
                <w:lang w:eastAsia="es-ES"/>
              </w:rPr>
              <w:t>Municipio: Tunja</w:t>
            </w:r>
          </w:p>
        </w:tc>
        <w:tc>
          <w:tcPr>
            <w:tcW w:w="12255" w:type="dxa"/>
            <w:tcBorders>
              <w:top w:val="single" w:sz="8" w:space="0" w:color="F79646"/>
              <w:left w:val="single" w:sz="8" w:space="0" w:color="F79646"/>
              <w:bottom w:val="single" w:sz="18" w:space="0" w:color="F79646"/>
              <w:right w:val="single" w:sz="8" w:space="0" w:color="F79646"/>
            </w:tcBorders>
            <w:shd w:val="clear" w:color="auto" w:fill="FDEADA"/>
            <w:tcMar>
              <w:top w:w="15" w:type="dxa"/>
              <w:left w:w="65" w:type="dxa"/>
              <w:bottom w:w="0" w:type="dxa"/>
              <w:right w:w="65" w:type="dxa"/>
            </w:tcMar>
            <w:hideMark/>
          </w:tcPr>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w:t>
            </w:r>
            <w:r w:rsidRPr="003A32A6">
              <w:rPr>
                <w:rFonts w:ascii="Arial" w:eastAsiaTheme="minorEastAsia" w:hAnsi="Arial" w:cs="Arial"/>
                <w:b/>
                <w:bCs/>
                <w:color w:val="000000" w:themeColor="text1"/>
                <w:kern w:val="24"/>
                <w:lang w:val="es-CO" w:eastAsia="es-ES"/>
              </w:rPr>
              <w:t>Educación</w:t>
            </w:r>
            <w:r w:rsidRPr="003A32A6">
              <w:rPr>
                <w:rFonts w:ascii="Arial" w:eastAsiaTheme="minorEastAsia" w:hAnsi="Arial" w:cs="Arial"/>
                <w:color w:val="000000" w:themeColor="text1"/>
                <w:kern w:val="24"/>
                <w:lang w:val="es-CO" w:eastAsia="es-ES"/>
              </w:rPr>
              <w:t>: Tunja además de ser importante histórica y arquitectónicamente  es una de las ciudades que se destaca por una gran parte de la educación en Colombia a pesar de ser considerada una ciudad pequeña Tunja es una ciudad donde el estudio se toma como primordial ya que la educación es primordial en una sociedad donde cada vez avanzamos a la era del audiovisual también es considerada como una de las ciudad donde gran parte de sus habitantes son bachilleres y universitarios.</w:t>
            </w:r>
          </w:p>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w:t>
            </w:r>
            <w:r w:rsidRPr="003A32A6">
              <w:rPr>
                <w:rFonts w:ascii="Arial" w:eastAsiaTheme="minorEastAsia" w:hAnsi="Arial" w:cs="Arial"/>
                <w:b/>
                <w:bCs/>
                <w:color w:val="000000" w:themeColor="text1"/>
                <w:kern w:val="24"/>
                <w:lang w:val="es-CO" w:eastAsia="es-ES"/>
              </w:rPr>
              <w:t>Socioeconómico</w:t>
            </w:r>
            <w:r w:rsidRPr="003A32A6">
              <w:rPr>
                <w:rFonts w:ascii="Arial" w:eastAsiaTheme="minorEastAsia" w:hAnsi="Arial" w:cs="Arial"/>
                <w:color w:val="000000" w:themeColor="text1"/>
                <w:kern w:val="24"/>
                <w:lang w:val="es-CO" w:eastAsia="es-ES"/>
              </w:rPr>
              <w:t>: Tunja se especializa en una línea competitiva específica relacionada con la prestación de servicios en educación, salud y turismo; su ventaja competitiva consiste en la provisión de equipamientos en salud, educación y cultura religiosa que le permite una alta capacitación y formación de sus habitantes, además, su localización geoestratégica le posibilita una relativa afluencia en el intercambio mercantil de la región.</w:t>
            </w:r>
          </w:p>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 -</w:t>
            </w:r>
            <w:r w:rsidRPr="003A32A6">
              <w:rPr>
                <w:rFonts w:ascii="Arial" w:eastAsiaTheme="minorEastAsia" w:hAnsi="Arial" w:cs="Arial"/>
                <w:b/>
                <w:bCs/>
                <w:color w:val="000000" w:themeColor="text1"/>
                <w:kern w:val="24"/>
                <w:lang w:val="es-CO" w:eastAsia="es-ES"/>
              </w:rPr>
              <w:t>Conflictos</w:t>
            </w:r>
            <w:r w:rsidRPr="003A32A6">
              <w:rPr>
                <w:rFonts w:ascii="Arial" w:eastAsiaTheme="minorEastAsia" w:hAnsi="Arial" w:cs="Arial"/>
                <w:color w:val="000000" w:themeColor="text1"/>
                <w:kern w:val="24"/>
                <w:lang w:val="es-CO" w:eastAsia="es-ES"/>
              </w:rPr>
              <w:t>: Al indagar sobre formas o mecanismos para resolver  conflictos, el diagnóstico realizado evidenció que un 58% de los ciudadanos de Tunja está de acuerdo o completamente de acuerdo en que algunas veces no resuelven las cosas hablando; mientras que un 70% perciben que los demás tampoco resuelven las cosas hablando. En tanto, las cifras de Violencia Intrafamiliar en el municipio superan por más del doble la tasa nacional.</w:t>
            </w:r>
          </w:p>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w:t>
            </w:r>
            <w:r w:rsidRPr="003A32A6">
              <w:rPr>
                <w:rFonts w:ascii="Arial" w:eastAsiaTheme="minorEastAsia" w:hAnsi="Arial" w:cs="Arial"/>
                <w:b/>
                <w:bCs/>
                <w:color w:val="000000" w:themeColor="text1"/>
                <w:kern w:val="24"/>
                <w:lang w:val="es-CO" w:eastAsia="es-ES"/>
              </w:rPr>
              <w:t>Organización</w:t>
            </w:r>
            <w:r w:rsidRPr="003A32A6">
              <w:rPr>
                <w:rFonts w:ascii="Arial" w:eastAsiaTheme="minorEastAsia" w:hAnsi="Arial" w:cs="Arial"/>
                <w:color w:val="000000" w:themeColor="text1"/>
                <w:kern w:val="24"/>
                <w:lang w:val="es-CO" w:eastAsia="es-ES"/>
              </w:rPr>
              <w:t xml:space="preserve"> social: Las organizaciones sociales y/o comunitarias son un potencial importante que contribuye al desarrollo económico, político y cultural de un país</w:t>
            </w:r>
            <w:proofErr w:type="gramStart"/>
            <w:r w:rsidRPr="003A32A6">
              <w:rPr>
                <w:rFonts w:ascii="Arial" w:eastAsiaTheme="minorEastAsia" w:hAnsi="Arial" w:cs="Arial"/>
                <w:color w:val="000000" w:themeColor="text1"/>
                <w:kern w:val="24"/>
                <w:lang w:val="es-CO" w:eastAsia="es-ES"/>
              </w:rPr>
              <w:t>..</w:t>
            </w:r>
            <w:proofErr w:type="gramEnd"/>
          </w:p>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Poblaciones vulnerables: Dentro de este aspecto encontramos la niñez, la mujer, los discapacitados, los desplazados y la tercera edad.</w:t>
            </w:r>
          </w:p>
          <w:p w:rsidR="003A32A6" w:rsidRPr="003A32A6" w:rsidRDefault="003A32A6" w:rsidP="003A32A6">
            <w:pPr>
              <w:spacing w:after="0" w:line="240" w:lineRule="auto"/>
              <w:jc w:val="both"/>
              <w:rPr>
                <w:rFonts w:ascii="Arial" w:eastAsia="Times New Roman" w:hAnsi="Arial" w:cs="Arial"/>
                <w:lang w:eastAsia="es-ES"/>
              </w:rPr>
            </w:pPr>
            <w:r w:rsidRPr="003A32A6">
              <w:rPr>
                <w:rFonts w:ascii="Arial" w:eastAsiaTheme="minorEastAsia" w:hAnsi="Arial" w:cs="Arial"/>
                <w:color w:val="000000" w:themeColor="text1"/>
                <w:kern w:val="24"/>
                <w:lang w:val="es-CO" w:eastAsia="es-ES"/>
              </w:rPr>
              <w:t>-</w:t>
            </w:r>
            <w:r w:rsidRPr="003A32A6">
              <w:rPr>
                <w:rFonts w:ascii="Arial" w:eastAsiaTheme="minorEastAsia" w:hAnsi="Arial" w:cs="Arial"/>
                <w:b/>
                <w:bCs/>
                <w:color w:val="000000" w:themeColor="text1"/>
                <w:kern w:val="24"/>
                <w:lang w:val="es-CO" w:eastAsia="es-ES"/>
              </w:rPr>
              <w:t>Comunicación</w:t>
            </w:r>
            <w:r w:rsidRPr="003A32A6">
              <w:rPr>
                <w:rFonts w:ascii="Arial" w:eastAsiaTheme="minorEastAsia" w:hAnsi="Arial" w:cs="Arial"/>
                <w:color w:val="000000" w:themeColor="text1"/>
                <w:kern w:val="24"/>
                <w:lang w:val="es-CO" w:eastAsia="es-ES"/>
              </w:rPr>
              <w:t>: Las principales vías terrestres de acceso son la Troncal BTS (Briceño-Tunja-Sogamoso) y la  que conduce hacia la ciudad de Bucaramanga, ambas pertenecientes a la vía Panamericana</w:t>
            </w:r>
            <w:r>
              <w:rPr>
                <w:rFonts w:ascii="Arial" w:eastAsiaTheme="minorEastAsia" w:hAnsi="Arial" w:cs="Arial"/>
                <w:color w:val="000000" w:themeColor="text1"/>
                <w:kern w:val="24"/>
                <w:lang w:val="es-CO" w:eastAsia="es-ES"/>
              </w:rPr>
              <w:t>.</w:t>
            </w:r>
          </w:p>
        </w:tc>
      </w:tr>
    </w:tbl>
    <w:p w:rsidR="007F33A4" w:rsidRDefault="007F33A4">
      <w:bookmarkStart w:id="0" w:name="_GoBack"/>
      <w:bookmarkEnd w:id="0"/>
    </w:p>
    <w:sectPr w:rsidR="007F33A4" w:rsidSect="003A32A6">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2A6"/>
    <w:rsid w:val="002D1CF1"/>
    <w:rsid w:val="003A32A6"/>
    <w:rsid w:val="007F3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32A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32A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288</Words>
  <Characters>1588</Characters>
  <Application>Microsoft Office Word</Application>
  <DocSecurity>0</DocSecurity>
  <Lines>13</Lines>
  <Paragraphs>3</Paragraphs>
  <ScaleCrop>false</ScaleCrop>
  <Company>Luffi</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2016-05-31T16:38:00Z</dcterms:created>
  <dcterms:modified xsi:type="dcterms:W3CDTF">2016-05-31T16:47:00Z</dcterms:modified>
</cp:coreProperties>
</file>