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E36C0A" w:themeColor="accent6" w:themeShade="BF"/>
          <w:sz w:val="36"/>
          <w:szCs w:val="36"/>
        </w:rPr>
      </w:pPr>
      <w:r w:rsidRPr="00DB1F60">
        <w:rPr>
          <w:rFonts w:ascii="Calibri,Bold" w:hAnsi="Calibri,Bold" w:cs="Calibri,Bold"/>
          <w:b/>
          <w:bCs/>
          <w:color w:val="E36C0A" w:themeColor="accent6" w:themeShade="BF"/>
          <w:sz w:val="36"/>
          <w:szCs w:val="36"/>
        </w:rPr>
        <w:t xml:space="preserve">Modelo ASSURE de </w:t>
      </w:r>
      <w:proofErr w:type="spellStart"/>
      <w:r w:rsidRPr="00DB1F60">
        <w:rPr>
          <w:rFonts w:ascii="Calibri,Bold" w:hAnsi="Calibri,Bold" w:cs="Calibri,Bold"/>
          <w:b/>
          <w:bCs/>
          <w:color w:val="E36C0A" w:themeColor="accent6" w:themeShade="BF"/>
          <w:sz w:val="36"/>
          <w:szCs w:val="36"/>
        </w:rPr>
        <w:t>Heinich</w:t>
      </w:r>
      <w:proofErr w:type="spellEnd"/>
      <w:r w:rsidRPr="00DB1F60">
        <w:rPr>
          <w:rFonts w:ascii="Calibri,Bold" w:hAnsi="Calibri,Bold" w:cs="Calibri,Bold"/>
          <w:b/>
          <w:bCs/>
          <w:color w:val="E36C0A" w:themeColor="accent6" w:themeShade="BF"/>
          <w:sz w:val="36"/>
          <w:szCs w:val="36"/>
        </w:rPr>
        <w:t xml:space="preserve"> y col.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Heinich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, </w:t>
      </w: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Molenda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, Russell y </w:t>
      </w: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Smaldino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(1993) desarrollaron el modelo ASSURE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incorporando los eventos de instrucción de Robert </w:t>
      </w: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Gagné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para asegurar el uso efectivo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de los medios en la instrucción. El modelo ASSURE tiene sus raíces teóricas en el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constructivismo, partiendo de las características concretas del estudiante, sus estilos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proofErr w:type="gram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de</w:t>
      </w:r>
      <w:proofErr w:type="gram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aprendizaje y fomentando la participación activa y comprometida del estudiante.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ASSURE presenta seis fases o procedimientos: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>
        <w:rPr>
          <w:rFonts w:ascii="Calibri" w:hAnsi="Calibri" w:cs="Calibri"/>
          <w:b/>
          <w:noProof/>
          <w:color w:val="B2A1C7" w:themeColor="accent4" w:themeTint="99"/>
          <w:sz w:val="36"/>
          <w:szCs w:val="36"/>
          <w:lang w:eastAsia="es-ES"/>
        </w:rPr>
        <w:drawing>
          <wp:inline distT="0" distB="0" distL="0" distR="0">
            <wp:extent cx="4105275" cy="11049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b/>
          <w:i/>
          <w:iCs/>
          <w:color w:val="B2A1C7" w:themeColor="accent4" w:themeTint="99"/>
          <w:sz w:val="36"/>
          <w:szCs w:val="36"/>
        </w:rPr>
      </w:pP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b/>
          <w:i/>
          <w:iCs/>
          <w:color w:val="B2A1C7" w:themeColor="accent4" w:themeTint="99"/>
          <w:sz w:val="36"/>
          <w:szCs w:val="36"/>
        </w:rPr>
      </w:pPr>
      <w:r w:rsidRPr="00DB1F60">
        <w:rPr>
          <w:rFonts w:ascii="Calibri,Italic" w:hAnsi="Calibri,Italic" w:cs="Calibri,Italic"/>
          <w:b/>
          <w:i/>
          <w:iCs/>
          <w:color w:val="B2A1C7" w:themeColor="accent4" w:themeTint="99"/>
          <w:sz w:val="36"/>
          <w:szCs w:val="36"/>
        </w:rPr>
        <w:t xml:space="preserve">Diseño </w:t>
      </w:r>
      <w:proofErr w:type="spellStart"/>
      <w:r w:rsidRPr="00DB1F60">
        <w:rPr>
          <w:rFonts w:ascii="Calibri,Italic" w:hAnsi="Calibri,Italic" w:cs="Calibri,Italic"/>
          <w:b/>
          <w:i/>
          <w:iCs/>
          <w:color w:val="B2A1C7" w:themeColor="accent4" w:themeTint="99"/>
          <w:sz w:val="36"/>
          <w:szCs w:val="36"/>
        </w:rPr>
        <w:t>instruccional</w:t>
      </w:r>
      <w:proofErr w:type="spellEnd"/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1. Analizar las características del estudiante.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Ante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de comenzar, se debe conocer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las características de los estudiantes, en relación a: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Características Generales: nivel de estudios, edad, características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proofErr w:type="gram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sociales</w:t>
      </w:r>
      <w:proofErr w:type="gram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, físicas, etc.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Capacidades específicas de entrada: conocimientos previos, habilidades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y actitudes.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Estilos de Aprendizaje.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lastRenderedPageBreak/>
        <w:t>2. Establecimiento de objetivos de aprendizaje, determinando los resultados que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los estudiantes deben alcanzar al realizar el curso, </w:t>
      </w:r>
      <w:proofErr w:type="gram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indicando</w:t>
      </w:r>
      <w:proofErr w:type="gram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el grado en que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serán conseguidos.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3. Selección de estrategias, tecnologías, medios y materiales.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Método </w:t>
      </w:r>
      <w:proofErr w:type="spellStart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Instruccional</w:t>
      </w:r>
      <w:proofErr w:type="spellEnd"/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que se considera más apropiado para lograr los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objetivos para esos estudiantes particulares.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Los medios que serían más adecuados: texto, imágenes, video, audio, y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multimedia.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</w:t>
      </w:r>
      <w:r w:rsidRPr="00DB1F60">
        <w:rPr>
          <w:rFonts w:ascii="Wingdings" w:hAnsi="Wingdings" w:cs="Wingdings"/>
          <w:b/>
          <w:color w:val="B2A1C7" w:themeColor="accent4" w:themeTint="99"/>
          <w:sz w:val="36"/>
          <w:szCs w:val="36"/>
        </w:rPr>
        <w:t>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Los materiales que servirán de apoyo a los estudiantes para el logro de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los objetivos.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4. Organizar el escenario de aprendizaje. Desarrollar el curso creando un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escenario que propicie el aprendizaje, utilizando los medios y materiales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seleccionados anteriormente. Revisión del curso antes de su implementación,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especialmente si se utiliza un entorno virtual comprobar el funcionamiento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óptimo de los recursos y materiales del curso.</w:t>
      </w:r>
    </w:p>
    <w:p w:rsidR="00DB1F60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5. Participación de los estudiantes. Fomentar a través de estrategias activas y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cooperativas la participación del estudiante.</w:t>
      </w:r>
    </w:p>
    <w:p w:rsidR="00E002DF" w:rsidRPr="00DB1F60" w:rsidRDefault="00DB1F60" w:rsidP="00DB1F60">
      <w:pPr>
        <w:autoSpaceDE w:val="0"/>
        <w:autoSpaceDN w:val="0"/>
        <w:adjustRightInd w:val="0"/>
        <w:spacing w:after="0" w:line="360" w:lineRule="auto"/>
        <w:rPr>
          <w:b/>
          <w:color w:val="B2A1C7" w:themeColor="accent4" w:themeTint="99"/>
          <w:sz w:val="36"/>
          <w:szCs w:val="36"/>
        </w:rPr>
      </w:pP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6. Evaluación y revisión de la implementación y resultados del aprendizaje. La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evaluación del propio proceso llevará a la reflexión sobre el mismo y a la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implementación de mejoras que redunden en una mayor calidad de la acción</w:t>
      </w:r>
      <w:r>
        <w:rPr>
          <w:rFonts w:ascii="Calibri" w:hAnsi="Calibri" w:cs="Calibri"/>
          <w:b/>
          <w:color w:val="B2A1C7" w:themeColor="accent4" w:themeTint="99"/>
          <w:sz w:val="36"/>
          <w:szCs w:val="36"/>
        </w:rPr>
        <w:t xml:space="preserve"> </w:t>
      </w:r>
      <w:r w:rsidRPr="00DB1F60">
        <w:rPr>
          <w:rFonts w:ascii="Calibri" w:hAnsi="Calibri" w:cs="Calibri"/>
          <w:b/>
          <w:color w:val="B2A1C7" w:themeColor="accent4" w:themeTint="99"/>
          <w:sz w:val="36"/>
          <w:szCs w:val="36"/>
        </w:rPr>
        <w:t>formativa.</w:t>
      </w:r>
    </w:p>
    <w:sectPr w:rsidR="00E002DF" w:rsidRPr="00DB1F60" w:rsidSect="00DB1F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394A"/>
    <w:rsid w:val="00215FEE"/>
    <w:rsid w:val="0044032D"/>
    <w:rsid w:val="00797E3B"/>
    <w:rsid w:val="00A3394A"/>
    <w:rsid w:val="00B14BB9"/>
    <w:rsid w:val="00D6654B"/>
    <w:rsid w:val="00DB1F60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2</cp:revision>
  <dcterms:created xsi:type="dcterms:W3CDTF">2016-10-24T00:41:00Z</dcterms:created>
  <dcterms:modified xsi:type="dcterms:W3CDTF">2016-10-24T00:48:00Z</dcterms:modified>
</cp:coreProperties>
</file>