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09" w:rsidRPr="00731309" w:rsidRDefault="00E36311" w:rsidP="00731309">
      <w:pPr>
        <w:rPr>
          <w:b/>
          <w:sz w:val="44"/>
          <w:szCs w:val="44"/>
        </w:rPr>
      </w:pPr>
      <w:r>
        <w:rPr>
          <w:b/>
          <w:sz w:val="44"/>
          <w:szCs w:val="44"/>
        </w:rPr>
        <w:t>Se</w:t>
      </w:r>
      <w:r w:rsidR="00731309" w:rsidRPr="00731309">
        <w:rPr>
          <w:b/>
          <w:sz w:val="44"/>
          <w:szCs w:val="44"/>
        </w:rPr>
        <w:t xml:space="preserve">lección de estrategias y medios </w:t>
      </w:r>
      <w:proofErr w:type="spellStart"/>
      <w:r w:rsidR="00731309" w:rsidRPr="00731309">
        <w:rPr>
          <w:b/>
          <w:sz w:val="44"/>
          <w:szCs w:val="44"/>
        </w:rPr>
        <w:t>instruccionales</w:t>
      </w:r>
      <w:proofErr w:type="spellEnd"/>
      <w:r w:rsidR="00731309">
        <w:rPr>
          <w:b/>
          <w:sz w:val="44"/>
          <w:szCs w:val="44"/>
        </w:rPr>
        <w:t>.</w:t>
      </w:r>
    </w:p>
    <w:p w:rsidR="00731309" w:rsidRPr="00731309" w:rsidRDefault="00731309" w:rsidP="00731309">
      <w:pPr>
        <w:rPr>
          <w:b/>
          <w:color w:val="403152" w:themeColor="accent4" w:themeShade="80"/>
          <w:sz w:val="20"/>
          <w:szCs w:val="20"/>
        </w:rPr>
      </w:pPr>
      <w:r w:rsidRPr="00731309">
        <w:rPr>
          <w:b/>
          <w:color w:val="403152" w:themeColor="accent4" w:themeShade="80"/>
          <w:sz w:val="20"/>
          <w:szCs w:val="20"/>
        </w:rPr>
        <w:t>Llegado este punto, se proponen cinco estrategias didácticas para el diseño de ambientes virtuales.</w:t>
      </w:r>
    </w:p>
    <w:p w:rsidR="00731309" w:rsidRPr="00731309" w:rsidRDefault="00731309" w:rsidP="00731309">
      <w:pPr>
        <w:rPr>
          <w:b/>
          <w:color w:val="403152" w:themeColor="accent4" w:themeShade="80"/>
          <w:sz w:val="20"/>
          <w:szCs w:val="20"/>
        </w:rPr>
      </w:pPr>
      <w:r w:rsidRPr="00731309">
        <w:rPr>
          <w:b/>
          <w:color w:val="403152" w:themeColor="accent4" w:themeShade="80"/>
          <w:sz w:val="20"/>
          <w:szCs w:val="20"/>
        </w:rPr>
        <w:t>Dichas estrategias están basadas en los conceptos que hemos vertido hasta aquí y que corresponden a</w:t>
      </w:r>
    </w:p>
    <w:p w:rsidR="00731309" w:rsidRPr="00731309" w:rsidRDefault="00731309" w:rsidP="00731309">
      <w:pPr>
        <w:rPr>
          <w:b/>
          <w:color w:val="403152" w:themeColor="accent4" w:themeShade="80"/>
          <w:sz w:val="20"/>
          <w:szCs w:val="20"/>
        </w:rPr>
      </w:pPr>
      <w:proofErr w:type="gramStart"/>
      <w:r w:rsidRPr="00731309">
        <w:rPr>
          <w:b/>
          <w:color w:val="403152" w:themeColor="accent4" w:themeShade="80"/>
          <w:sz w:val="20"/>
          <w:szCs w:val="20"/>
        </w:rPr>
        <w:t>nuestra</w:t>
      </w:r>
      <w:proofErr w:type="gramEnd"/>
      <w:r w:rsidRPr="00731309">
        <w:rPr>
          <w:b/>
          <w:color w:val="403152" w:themeColor="accent4" w:themeShade="80"/>
          <w:sz w:val="20"/>
          <w:szCs w:val="20"/>
        </w:rPr>
        <w:t xml:space="preserve"> postura con respecto a tres aspectos:</w:t>
      </w:r>
    </w:p>
    <w:p w:rsidR="00731309" w:rsidRPr="00731309" w:rsidRDefault="00731309" w:rsidP="00731309">
      <w:pPr>
        <w:rPr>
          <w:b/>
          <w:color w:val="403152" w:themeColor="accent4" w:themeShade="80"/>
          <w:sz w:val="20"/>
          <w:szCs w:val="20"/>
        </w:rPr>
      </w:pPr>
      <w:r w:rsidRPr="00731309">
        <w:rPr>
          <w:b/>
          <w:color w:val="403152" w:themeColor="accent4" w:themeShade="80"/>
          <w:sz w:val="20"/>
          <w:szCs w:val="20"/>
        </w:rPr>
        <w:t>a) La generación del aprendizaje y la mediación cognitiva de las NT.</w:t>
      </w:r>
    </w:p>
    <w:p w:rsidR="00731309" w:rsidRPr="00731309" w:rsidRDefault="00731309" w:rsidP="00731309">
      <w:pPr>
        <w:rPr>
          <w:b/>
          <w:color w:val="403152" w:themeColor="accent4" w:themeShade="80"/>
          <w:sz w:val="20"/>
          <w:szCs w:val="20"/>
        </w:rPr>
      </w:pPr>
      <w:r w:rsidRPr="00731309">
        <w:rPr>
          <w:b/>
          <w:color w:val="403152" w:themeColor="accent4" w:themeShade="80"/>
          <w:sz w:val="20"/>
          <w:szCs w:val="20"/>
        </w:rPr>
        <w:t>b) El papel de las NT y la provisión de estímulos sensoriales.</w:t>
      </w:r>
    </w:p>
    <w:p w:rsidR="00731309" w:rsidRPr="00731309" w:rsidRDefault="00731309" w:rsidP="00731309">
      <w:pPr>
        <w:rPr>
          <w:b/>
          <w:color w:val="403152" w:themeColor="accent4" w:themeShade="80"/>
          <w:sz w:val="20"/>
          <w:szCs w:val="20"/>
        </w:rPr>
      </w:pPr>
      <w:r w:rsidRPr="00731309">
        <w:rPr>
          <w:b/>
          <w:color w:val="403152" w:themeColor="accent4" w:themeShade="80"/>
          <w:sz w:val="20"/>
          <w:szCs w:val="20"/>
        </w:rPr>
        <w:t>c) La didáctica crítica.</w:t>
      </w:r>
    </w:p>
    <w:p w:rsidR="00731309" w:rsidRPr="00731309" w:rsidRDefault="00731309" w:rsidP="00731309">
      <w:pPr>
        <w:rPr>
          <w:b/>
          <w:color w:val="403152" w:themeColor="accent4" w:themeShade="80"/>
          <w:sz w:val="20"/>
          <w:szCs w:val="20"/>
        </w:rPr>
      </w:pPr>
      <w:r w:rsidRPr="00731309">
        <w:rPr>
          <w:b/>
          <w:color w:val="403152" w:themeColor="accent4" w:themeShade="80"/>
          <w:sz w:val="20"/>
          <w:szCs w:val="20"/>
        </w:rPr>
        <w:t>Las estrategias son</w:t>
      </w:r>
      <w:r w:rsidRPr="00731309">
        <w:rPr>
          <w:b/>
          <w:color w:val="403152" w:themeColor="accent4" w:themeShade="80"/>
          <w:sz w:val="10"/>
          <w:szCs w:val="10"/>
        </w:rPr>
        <w:t>12</w:t>
      </w:r>
      <w:r w:rsidRPr="00731309">
        <w:rPr>
          <w:b/>
          <w:color w:val="403152" w:themeColor="accent4" w:themeShade="80"/>
          <w:sz w:val="20"/>
          <w:szCs w:val="20"/>
        </w:rPr>
        <w:t>:</w:t>
      </w:r>
    </w:p>
    <w:p w:rsidR="00731309" w:rsidRPr="00731309" w:rsidRDefault="00731309" w:rsidP="00731309">
      <w:pPr>
        <w:rPr>
          <w:b/>
          <w:color w:val="403152" w:themeColor="accent4" w:themeShade="80"/>
          <w:sz w:val="20"/>
          <w:szCs w:val="20"/>
        </w:rPr>
      </w:pPr>
      <w:r w:rsidRPr="00731309">
        <w:rPr>
          <w:b/>
          <w:color w:val="403152" w:themeColor="accent4" w:themeShade="80"/>
          <w:sz w:val="20"/>
          <w:szCs w:val="20"/>
        </w:rPr>
        <w:t xml:space="preserve">1) </w:t>
      </w:r>
      <w:r w:rsidRPr="00731309">
        <w:rPr>
          <w:b/>
          <w:color w:val="403152" w:themeColor="accent4" w:themeShade="80"/>
          <w:sz w:val="18"/>
          <w:szCs w:val="18"/>
        </w:rPr>
        <w:t xml:space="preserve">PROPICIAR EL DESEQUILIBRIO COGNITIVO. </w:t>
      </w:r>
      <w:r w:rsidRPr="00731309">
        <w:rPr>
          <w:b/>
          <w:color w:val="403152" w:themeColor="accent4" w:themeShade="80"/>
          <w:sz w:val="20"/>
          <w:szCs w:val="20"/>
        </w:rPr>
        <w:t>Como una condición necesaria para preparar al aprendiz</w:t>
      </w:r>
    </w:p>
    <w:p w:rsidR="00731309" w:rsidRPr="00731309" w:rsidRDefault="00731309" w:rsidP="00731309">
      <w:pPr>
        <w:rPr>
          <w:b/>
          <w:color w:val="403152" w:themeColor="accent4" w:themeShade="80"/>
          <w:sz w:val="20"/>
          <w:szCs w:val="20"/>
        </w:rPr>
      </w:pPr>
      <w:proofErr w:type="gramStart"/>
      <w:r w:rsidRPr="00731309">
        <w:rPr>
          <w:b/>
          <w:color w:val="403152" w:themeColor="accent4" w:themeShade="80"/>
          <w:sz w:val="20"/>
          <w:szCs w:val="20"/>
        </w:rPr>
        <w:t>para</w:t>
      </w:r>
      <w:proofErr w:type="gramEnd"/>
      <w:r w:rsidRPr="00731309">
        <w:rPr>
          <w:b/>
          <w:color w:val="403152" w:themeColor="accent4" w:themeShade="80"/>
          <w:sz w:val="20"/>
          <w:szCs w:val="20"/>
        </w:rPr>
        <w:t xml:space="preserve"> el proceso desde el punto de vista cognitivo. Esta estrategia está sustentada en las</w:t>
      </w:r>
    </w:p>
    <w:p w:rsidR="00731309" w:rsidRPr="00731309" w:rsidRDefault="00731309" w:rsidP="00731309">
      <w:pPr>
        <w:rPr>
          <w:b/>
          <w:color w:val="403152" w:themeColor="accent4" w:themeShade="80"/>
          <w:sz w:val="20"/>
          <w:szCs w:val="20"/>
        </w:rPr>
      </w:pPr>
      <w:proofErr w:type="gramStart"/>
      <w:r w:rsidRPr="00731309">
        <w:rPr>
          <w:b/>
          <w:color w:val="403152" w:themeColor="accent4" w:themeShade="80"/>
          <w:sz w:val="20"/>
          <w:szCs w:val="20"/>
        </w:rPr>
        <w:t>aportaciones</w:t>
      </w:r>
      <w:proofErr w:type="gramEnd"/>
      <w:r w:rsidRPr="00731309">
        <w:rPr>
          <w:b/>
          <w:color w:val="403152" w:themeColor="accent4" w:themeShade="80"/>
          <w:sz w:val="20"/>
          <w:szCs w:val="20"/>
        </w:rPr>
        <w:t xml:space="preserve"> de </w:t>
      </w:r>
      <w:proofErr w:type="spellStart"/>
      <w:r w:rsidRPr="00731309">
        <w:rPr>
          <w:b/>
          <w:color w:val="403152" w:themeColor="accent4" w:themeShade="80"/>
          <w:sz w:val="20"/>
          <w:szCs w:val="20"/>
        </w:rPr>
        <w:t>Piaget</w:t>
      </w:r>
      <w:proofErr w:type="spellEnd"/>
      <w:r w:rsidRPr="00731309">
        <w:rPr>
          <w:b/>
          <w:color w:val="403152" w:themeColor="accent4" w:themeShade="80"/>
          <w:sz w:val="20"/>
          <w:szCs w:val="20"/>
        </w:rPr>
        <w:t xml:space="preserve"> referentes a los procesos de acomodación y asimilación.</w:t>
      </w:r>
    </w:p>
    <w:p w:rsidR="00731309" w:rsidRPr="00731309" w:rsidRDefault="00731309" w:rsidP="00731309">
      <w:pPr>
        <w:rPr>
          <w:b/>
          <w:color w:val="403152" w:themeColor="accent4" w:themeShade="80"/>
          <w:sz w:val="20"/>
          <w:szCs w:val="20"/>
        </w:rPr>
      </w:pPr>
      <w:r w:rsidRPr="00731309">
        <w:rPr>
          <w:b/>
          <w:color w:val="403152" w:themeColor="accent4" w:themeShade="80"/>
          <w:sz w:val="20"/>
          <w:szCs w:val="20"/>
        </w:rPr>
        <w:t xml:space="preserve">2) </w:t>
      </w:r>
      <w:r w:rsidRPr="00731309">
        <w:rPr>
          <w:b/>
          <w:color w:val="403152" w:themeColor="accent4" w:themeShade="80"/>
          <w:sz w:val="18"/>
          <w:szCs w:val="18"/>
        </w:rPr>
        <w:t xml:space="preserve">PROPICIAR LA INTERACCIÓN DE ALTO NIVEL COGNITIVO. </w:t>
      </w:r>
      <w:r w:rsidRPr="00731309">
        <w:rPr>
          <w:b/>
          <w:color w:val="403152" w:themeColor="accent4" w:themeShade="80"/>
          <w:sz w:val="20"/>
          <w:szCs w:val="20"/>
        </w:rPr>
        <w:t>En donde se confrontan, al menos dos</w:t>
      </w:r>
    </w:p>
    <w:p w:rsidR="00731309" w:rsidRPr="00731309" w:rsidRDefault="00731309" w:rsidP="00731309">
      <w:pPr>
        <w:rPr>
          <w:b/>
          <w:color w:val="403152" w:themeColor="accent4" w:themeShade="80"/>
          <w:sz w:val="20"/>
          <w:szCs w:val="20"/>
        </w:rPr>
      </w:pPr>
      <w:proofErr w:type="gramStart"/>
      <w:r w:rsidRPr="00731309">
        <w:rPr>
          <w:b/>
          <w:color w:val="403152" w:themeColor="accent4" w:themeShade="80"/>
          <w:sz w:val="20"/>
          <w:szCs w:val="20"/>
        </w:rPr>
        <w:t>estructuras</w:t>
      </w:r>
      <w:proofErr w:type="gramEnd"/>
      <w:r w:rsidRPr="00731309">
        <w:rPr>
          <w:b/>
          <w:color w:val="403152" w:themeColor="accent4" w:themeShade="80"/>
          <w:sz w:val="20"/>
          <w:szCs w:val="20"/>
        </w:rPr>
        <w:t xml:space="preserve"> cognitivas diferentes. Esta estrategia se sustenta en las aportaciones de </w:t>
      </w:r>
      <w:proofErr w:type="spellStart"/>
      <w:r w:rsidRPr="00731309">
        <w:rPr>
          <w:b/>
          <w:color w:val="403152" w:themeColor="accent4" w:themeShade="80"/>
          <w:sz w:val="20"/>
          <w:szCs w:val="20"/>
        </w:rPr>
        <w:t>Vygotski</w:t>
      </w:r>
      <w:proofErr w:type="spellEnd"/>
      <w:r w:rsidRPr="00731309">
        <w:rPr>
          <w:b/>
          <w:color w:val="403152" w:themeColor="accent4" w:themeShade="80"/>
          <w:sz w:val="20"/>
          <w:szCs w:val="20"/>
        </w:rPr>
        <w:t>.</w:t>
      </w:r>
    </w:p>
    <w:p w:rsidR="00731309" w:rsidRPr="00731309" w:rsidRDefault="00731309" w:rsidP="00731309">
      <w:pPr>
        <w:rPr>
          <w:b/>
          <w:color w:val="403152" w:themeColor="accent4" w:themeShade="80"/>
          <w:sz w:val="20"/>
          <w:szCs w:val="20"/>
        </w:rPr>
      </w:pPr>
      <w:r w:rsidRPr="00731309">
        <w:rPr>
          <w:b/>
          <w:color w:val="403152" w:themeColor="accent4" w:themeShade="80"/>
          <w:sz w:val="20"/>
          <w:szCs w:val="20"/>
        </w:rPr>
        <w:t xml:space="preserve">3) </w:t>
      </w:r>
      <w:r w:rsidRPr="00731309">
        <w:rPr>
          <w:b/>
          <w:color w:val="403152" w:themeColor="accent4" w:themeShade="80"/>
          <w:sz w:val="18"/>
          <w:szCs w:val="18"/>
        </w:rPr>
        <w:t xml:space="preserve">PROMOVER EL DESARROLLO DE HABILIDADES DEL PENSAMIENTO. </w:t>
      </w:r>
      <w:r w:rsidRPr="00731309">
        <w:rPr>
          <w:b/>
          <w:color w:val="403152" w:themeColor="accent4" w:themeShade="80"/>
          <w:sz w:val="20"/>
          <w:szCs w:val="20"/>
        </w:rPr>
        <w:t>Como una condición necesaria para</w:t>
      </w:r>
    </w:p>
    <w:p w:rsidR="00731309" w:rsidRPr="00731309" w:rsidRDefault="00731309" w:rsidP="00731309">
      <w:pPr>
        <w:rPr>
          <w:b/>
          <w:color w:val="403152" w:themeColor="accent4" w:themeShade="80"/>
          <w:sz w:val="20"/>
          <w:szCs w:val="20"/>
        </w:rPr>
      </w:pPr>
      <w:proofErr w:type="gramStart"/>
      <w:r w:rsidRPr="00731309">
        <w:rPr>
          <w:b/>
          <w:color w:val="403152" w:themeColor="accent4" w:themeShade="80"/>
          <w:sz w:val="20"/>
          <w:szCs w:val="20"/>
        </w:rPr>
        <w:t>favorecer</w:t>
      </w:r>
      <w:proofErr w:type="gramEnd"/>
      <w:r w:rsidRPr="00731309">
        <w:rPr>
          <w:b/>
          <w:color w:val="403152" w:themeColor="accent4" w:themeShade="80"/>
          <w:sz w:val="20"/>
          <w:szCs w:val="20"/>
        </w:rPr>
        <w:t xml:space="preserve"> la calidad del aprendizaje y proveer recursos </w:t>
      </w:r>
      <w:proofErr w:type="spellStart"/>
      <w:r w:rsidRPr="00731309">
        <w:rPr>
          <w:b/>
          <w:color w:val="403152" w:themeColor="accent4" w:themeShade="80"/>
          <w:sz w:val="20"/>
          <w:szCs w:val="20"/>
        </w:rPr>
        <w:t>metacognitivos</w:t>
      </w:r>
      <w:proofErr w:type="spellEnd"/>
      <w:r w:rsidRPr="00731309">
        <w:rPr>
          <w:b/>
          <w:color w:val="403152" w:themeColor="accent4" w:themeShade="80"/>
          <w:sz w:val="20"/>
          <w:szCs w:val="20"/>
        </w:rPr>
        <w:t>.</w:t>
      </w:r>
    </w:p>
    <w:p w:rsidR="00731309" w:rsidRPr="00731309" w:rsidRDefault="00731309" w:rsidP="00731309">
      <w:pPr>
        <w:rPr>
          <w:b/>
          <w:color w:val="403152" w:themeColor="accent4" w:themeShade="80"/>
          <w:sz w:val="20"/>
          <w:szCs w:val="20"/>
        </w:rPr>
      </w:pPr>
      <w:r w:rsidRPr="00731309">
        <w:rPr>
          <w:b/>
          <w:color w:val="403152" w:themeColor="accent4" w:themeShade="80"/>
          <w:sz w:val="20"/>
          <w:szCs w:val="20"/>
        </w:rPr>
        <w:t xml:space="preserve">4) </w:t>
      </w:r>
      <w:r w:rsidRPr="00731309">
        <w:rPr>
          <w:b/>
          <w:color w:val="403152" w:themeColor="accent4" w:themeShade="80"/>
          <w:sz w:val="18"/>
          <w:szCs w:val="18"/>
        </w:rPr>
        <w:t xml:space="preserve">ADMINISTRAR LOS RECURSOS ATENCIONALES. </w:t>
      </w:r>
      <w:r w:rsidRPr="00731309">
        <w:rPr>
          <w:b/>
          <w:color w:val="403152" w:themeColor="accent4" w:themeShade="80"/>
          <w:sz w:val="20"/>
          <w:szCs w:val="20"/>
        </w:rPr>
        <w:t>Recordamos que la atención es un recurso limitado.</w:t>
      </w:r>
    </w:p>
    <w:p w:rsidR="00731309" w:rsidRPr="00731309" w:rsidRDefault="00731309" w:rsidP="00731309">
      <w:pPr>
        <w:rPr>
          <w:b/>
          <w:color w:val="403152" w:themeColor="accent4" w:themeShade="80"/>
          <w:sz w:val="20"/>
          <w:szCs w:val="20"/>
        </w:rPr>
      </w:pPr>
      <w:r w:rsidRPr="00731309">
        <w:rPr>
          <w:b/>
          <w:color w:val="403152" w:themeColor="accent4" w:themeShade="80"/>
          <w:sz w:val="20"/>
          <w:szCs w:val="20"/>
        </w:rPr>
        <w:t>Por lo que es necesario administrarlo adecuadamente.</w:t>
      </w:r>
    </w:p>
    <w:p w:rsidR="00731309" w:rsidRPr="00731309" w:rsidRDefault="00731309" w:rsidP="00731309">
      <w:pPr>
        <w:rPr>
          <w:b/>
          <w:color w:val="403152" w:themeColor="accent4" w:themeShade="80"/>
          <w:sz w:val="20"/>
          <w:szCs w:val="20"/>
        </w:rPr>
      </w:pPr>
      <w:r w:rsidRPr="00731309">
        <w:rPr>
          <w:b/>
          <w:color w:val="403152" w:themeColor="accent4" w:themeShade="80"/>
          <w:sz w:val="20"/>
          <w:szCs w:val="20"/>
        </w:rPr>
        <w:t xml:space="preserve">5) </w:t>
      </w:r>
      <w:r w:rsidRPr="00731309">
        <w:rPr>
          <w:b/>
          <w:color w:val="403152" w:themeColor="accent4" w:themeShade="80"/>
          <w:sz w:val="18"/>
          <w:szCs w:val="18"/>
        </w:rPr>
        <w:t xml:space="preserve">ADMINISTRAR LOS RECURSOS MOTIVACIONALES. </w:t>
      </w:r>
      <w:r w:rsidRPr="00731309">
        <w:rPr>
          <w:b/>
          <w:color w:val="403152" w:themeColor="accent4" w:themeShade="80"/>
          <w:sz w:val="20"/>
          <w:szCs w:val="20"/>
        </w:rPr>
        <w:t>La motivación también es limitada por lo que debe</w:t>
      </w:r>
    </w:p>
    <w:p w:rsidR="00731309" w:rsidRPr="00731309" w:rsidRDefault="00731309" w:rsidP="00731309">
      <w:pPr>
        <w:rPr>
          <w:b/>
          <w:color w:val="403152" w:themeColor="accent4" w:themeShade="80"/>
          <w:sz w:val="20"/>
          <w:szCs w:val="20"/>
        </w:rPr>
      </w:pPr>
      <w:proofErr w:type="gramStart"/>
      <w:r w:rsidRPr="00731309">
        <w:rPr>
          <w:b/>
          <w:color w:val="403152" w:themeColor="accent4" w:themeShade="80"/>
          <w:sz w:val="20"/>
          <w:szCs w:val="20"/>
        </w:rPr>
        <w:t>administrarse</w:t>
      </w:r>
      <w:proofErr w:type="gramEnd"/>
      <w:r w:rsidRPr="00731309">
        <w:rPr>
          <w:b/>
          <w:color w:val="403152" w:themeColor="accent4" w:themeShade="80"/>
          <w:sz w:val="20"/>
          <w:szCs w:val="20"/>
        </w:rPr>
        <w:t>.</w:t>
      </w:r>
    </w:p>
    <w:p w:rsidR="00731309" w:rsidRPr="00731309" w:rsidRDefault="00731309" w:rsidP="00731309">
      <w:pPr>
        <w:rPr>
          <w:b/>
          <w:color w:val="403152" w:themeColor="accent4" w:themeShade="80"/>
          <w:sz w:val="20"/>
          <w:szCs w:val="20"/>
        </w:rPr>
      </w:pPr>
      <w:r w:rsidRPr="00731309">
        <w:rPr>
          <w:b/>
          <w:color w:val="403152" w:themeColor="accent4" w:themeShade="80"/>
          <w:sz w:val="20"/>
          <w:szCs w:val="20"/>
        </w:rPr>
        <w:t>Existe una gran diversidad de técnicas didácticas que pueden ser aplicadas para dar forma a las</w:t>
      </w:r>
    </w:p>
    <w:p w:rsidR="00731309" w:rsidRDefault="00731309" w:rsidP="00731309">
      <w:pPr>
        <w:rPr>
          <w:b/>
          <w:color w:val="403152" w:themeColor="accent4" w:themeShade="80"/>
          <w:sz w:val="20"/>
          <w:szCs w:val="20"/>
        </w:rPr>
      </w:pPr>
      <w:proofErr w:type="gramStart"/>
      <w:r w:rsidRPr="00731309">
        <w:rPr>
          <w:b/>
          <w:color w:val="403152" w:themeColor="accent4" w:themeShade="80"/>
          <w:sz w:val="20"/>
          <w:szCs w:val="20"/>
        </w:rPr>
        <w:t>estrategias</w:t>
      </w:r>
      <w:proofErr w:type="gramEnd"/>
      <w:r w:rsidRPr="00731309">
        <w:rPr>
          <w:b/>
          <w:color w:val="403152" w:themeColor="accent4" w:themeShade="80"/>
          <w:sz w:val="20"/>
          <w:szCs w:val="20"/>
        </w:rPr>
        <w:t xml:space="preserve"> mencionadas. No hay una correspondencia única entre técnicas y estrategias didácticas. </w:t>
      </w:r>
    </w:p>
    <w:p w:rsidR="00731309" w:rsidRPr="00731309" w:rsidRDefault="00731309" w:rsidP="00731309">
      <w:pPr>
        <w:rPr>
          <w:b/>
          <w:color w:val="403152" w:themeColor="accent4" w:themeShade="80"/>
          <w:sz w:val="20"/>
          <w:szCs w:val="20"/>
        </w:rPr>
      </w:pPr>
      <w:r w:rsidRPr="00731309">
        <w:rPr>
          <w:b/>
          <w:color w:val="403152" w:themeColor="accent4" w:themeShade="80"/>
          <w:sz w:val="20"/>
          <w:szCs w:val="20"/>
        </w:rPr>
        <w:t>De</w:t>
      </w:r>
      <w:r>
        <w:rPr>
          <w:b/>
          <w:color w:val="403152" w:themeColor="accent4" w:themeShade="80"/>
          <w:sz w:val="20"/>
          <w:szCs w:val="20"/>
        </w:rPr>
        <w:t xml:space="preserve"> </w:t>
      </w:r>
      <w:r w:rsidRPr="00731309">
        <w:rPr>
          <w:b/>
          <w:color w:val="403152" w:themeColor="accent4" w:themeShade="80"/>
          <w:sz w:val="20"/>
          <w:szCs w:val="20"/>
        </w:rPr>
        <w:t>hecho, muchas técnicas pueden responder a dos o más estrategias en un mismo caso. En nuestro caso, por ejemplo, la técnica denominada Aprendizaje Basado en Problemas</w:t>
      </w:r>
      <w:r w:rsidRPr="00731309">
        <w:rPr>
          <w:b/>
          <w:color w:val="403152" w:themeColor="accent4" w:themeShade="80"/>
          <w:sz w:val="10"/>
          <w:szCs w:val="10"/>
        </w:rPr>
        <w:t xml:space="preserve">13 </w:t>
      </w:r>
      <w:r w:rsidRPr="00731309">
        <w:rPr>
          <w:b/>
          <w:color w:val="403152" w:themeColor="accent4" w:themeShade="80"/>
          <w:sz w:val="20"/>
          <w:szCs w:val="20"/>
        </w:rPr>
        <w:t>(ABP), puede servir para propiciar el</w:t>
      </w:r>
      <w:r>
        <w:rPr>
          <w:b/>
          <w:color w:val="403152" w:themeColor="accent4" w:themeShade="80"/>
          <w:sz w:val="20"/>
          <w:szCs w:val="20"/>
        </w:rPr>
        <w:t xml:space="preserve"> </w:t>
      </w:r>
      <w:r w:rsidRPr="00731309">
        <w:rPr>
          <w:b/>
          <w:color w:val="403152" w:themeColor="accent4" w:themeShade="80"/>
          <w:sz w:val="20"/>
          <w:szCs w:val="20"/>
        </w:rPr>
        <w:t>desequilibrio cognitivo (estrategia 1), la interacción de alto nivel entre los miembros de la comunidad de</w:t>
      </w:r>
      <w:r>
        <w:rPr>
          <w:b/>
          <w:color w:val="403152" w:themeColor="accent4" w:themeShade="80"/>
          <w:sz w:val="20"/>
          <w:szCs w:val="20"/>
        </w:rPr>
        <w:t xml:space="preserve"> </w:t>
      </w:r>
      <w:r w:rsidRPr="00731309">
        <w:rPr>
          <w:b/>
          <w:color w:val="403152" w:themeColor="accent4" w:themeShade="80"/>
          <w:sz w:val="20"/>
          <w:szCs w:val="20"/>
        </w:rPr>
        <w:t>aprendizaje (estrategia 2) y promover el pensamiento crítico (estrategia 3). Lo importante no es, sin embargo, que una misma técnica sirva para diversas estrategias, sino que éstas orienten de manera planificada y adecuada.</w:t>
      </w:r>
    </w:p>
    <w:p w:rsidR="00731309" w:rsidRPr="00731309" w:rsidRDefault="00731309" w:rsidP="00731309">
      <w:pPr>
        <w:rPr>
          <w:b/>
          <w:color w:val="403152" w:themeColor="accent4" w:themeShade="80"/>
          <w:sz w:val="20"/>
          <w:szCs w:val="20"/>
        </w:rPr>
      </w:pPr>
      <w:r w:rsidRPr="00731309">
        <w:rPr>
          <w:b/>
          <w:color w:val="403152" w:themeColor="accent4" w:themeShade="80"/>
          <w:sz w:val="20"/>
          <w:szCs w:val="20"/>
        </w:rPr>
        <w:t>Cabe mencionar que, aunque lo deseable es implementar las cinco estrategias, es difícil que en</w:t>
      </w:r>
      <w:r>
        <w:rPr>
          <w:b/>
          <w:color w:val="403152" w:themeColor="accent4" w:themeShade="80"/>
          <w:sz w:val="20"/>
          <w:szCs w:val="20"/>
        </w:rPr>
        <w:t xml:space="preserve"> </w:t>
      </w:r>
      <w:r w:rsidRPr="00731309">
        <w:rPr>
          <w:b/>
          <w:color w:val="403152" w:themeColor="accent4" w:themeShade="80"/>
          <w:sz w:val="20"/>
          <w:szCs w:val="20"/>
        </w:rPr>
        <w:t xml:space="preserve">todas las actividades o en todos los contenidos puedan aplicarse de manera conjunta por lo que deberán seleccionarse para cada caso. Sin embargo, para que puedan brindar los resultados esperados es </w:t>
      </w:r>
      <w:r w:rsidRPr="00731309">
        <w:rPr>
          <w:b/>
          <w:color w:val="403152" w:themeColor="accent4" w:themeShade="80"/>
          <w:sz w:val="20"/>
          <w:szCs w:val="20"/>
        </w:rPr>
        <w:lastRenderedPageBreak/>
        <w:t xml:space="preserve">necesario que su aplicación sea sistemática y pertinente. Bajo dichas estrategias se desarrolla el proyecto </w:t>
      </w:r>
      <w:proofErr w:type="spellStart"/>
      <w:r w:rsidRPr="00731309">
        <w:rPr>
          <w:b/>
          <w:color w:val="403152" w:themeColor="accent4" w:themeShade="80"/>
          <w:sz w:val="20"/>
          <w:szCs w:val="20"/>
        </w:rPr>
        <w:t>instruccional</w:t>
      </w:r>
      <w:proofErr w:type="spellEnd"/>
      <w:r w:rsidRPr="00731309">
        <w:rPr>
          <w:b/>
          <w:color w:val="403152" w:themeColor="accent4" w:themeShade="80"/>
          <w:sz w:val="20"/>
          <w:szCs w:val="20"/>
        </w:rPr>
        <w:t xml:space="preserve"> en su conjunto y se orienta el diseño de las actividades y la selección de las técnicas didácticas.</w:t>
      </w:r>
    </w:p>
    <w:p w:rsidR="00E002DF" w:rsidRPr="00731309" w:rsidRDefault="00731309" w:rsidP="00731309">
      <w:pPr>
        <w:rPr>
          <w:b/>
          <w:color w:val="403152" w:themeColor="accent4" w:themeShade="80"/>
        </w:rPr>
      </w:pPr>
      <w:r w:rsidRPr="00731309">
        <w:rPr>
          <w:b/>
          <w:color w:val="403152" w:themeColor="accent4" w:themeShade="80"/>
          <w:sz w:val="20"/>
          <w:szCs w:val="20"/>
        </w:rPr>
        <w:t>Por otro lado, en esta etapa se evalúan también los recursos computacionales con los que se cuenta. Es</w:t>
      </w:r>
      <w:r>
        <w:rPr>
          <w:b/>
          <w:color w:val="403152" w:themeColor="accent4" w:themeShade="80"/>
          <w:sz w:val="20"/>
          <w:szCs w:val="20"/>
        </w:rPr>
        <w:t xml:space="preserve"> </w:t>
      </w:r>
      <w:r w:rsidRPr="00731309">
        <w:rPr>
          <w:b/>
          <w:color w:val="403152" w:themeColor="accent4" w:themeShade="80"/>
          <w:sz w:val="20"/>
          <w:szCs w:val="20"/>
        </w:rPr>
        <w:t>importante tener presente la capacidad del equipo que usará cada uno de los estudiantes, así como el que usará el grupo docente y los servidores que darán soporte al ambiente virtual durante el curso. En esta etapa es necesario que se prevean los medios de interactividad que serán utilizados.</w:t>
      </w:r>
    </w:p>
    <w:sectPr w:rsidR="00E002DF" w:rsidRPr="00731309" w:rsidSect="00E00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1309"/>
    <w:rsid w:val="00215FEE"/>
    <w:rsid w:val="0046014D"/>
    <w:rsid w:val="00731309"/>
    <w:rsid w:val="00797E3B"/>
    <w:rsid w:val="00B14BB9"/>
    <w:rsid w:val="00D6654B"/>
    <w:rsid w:val="00E002DF"/>
    <w:rsid w:val="00E3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acosta</dc:creator>
  <cp:lastModifiedBy>gloria acosta</cp:lastModifiedBy>
  <cp:revision>3</cp:revision>
  <dcterms:created xsi:type="dcterms:W3CDTF">2016-10-23T23:31:00Z</dcterms:created>
  <dcterms:modified xsi:type="dcterms:W3CDTF">2016-10-23T23:32:00Z</dcterms:modified>
</cp:coreProperties>
</file>