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Heavy" w:hAnsi="FuturaBT-Heavy" w:cs="FuturaBT-Heavy"/>
          <w:color w:val="984806" w:themeColor="accent6" w:themeShade="80"/>
          <w:sz w:val="44"/>
          <w:szCs w:val="44"/>
        </w:rPr>
      </w:pPr>
      <w:r w:rsidRPr="00365C94">
        <w:rPr>
          <w:rFonts w:ascii="FuturaBT-Heavy" w:hAnsi="FuturaBT-Heavy" w:cs="FuturaBT-Heavy"/>
          <w:color w:val="984806" w:themeColor="accent6" w:themeShade="80"/>
          <w:sz w:val="44"/>
          <w:szCs w:val="44"/>
        </w:rPr>
        <w:t>Evaluación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Debería realizar una evaluación durante el proceso (evaluación formativa)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y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al final de la formación (evaluación </w:t>
      </w:r>
      <w:proofErr w:type="spell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sumativa</w:t>
      </w:r>
      <w:proofErr w:type="spell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). En lugar de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ubicar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esta fase al final del proceso, la evaluación debería realizarse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a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lo largo de todo el proceso. Sin embargo, debería aplicarse un elemento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de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evaluación exhaustivo y formal de la evaluación a lo largo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del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curso, para incluir: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• Nivel 1: Evaluación del curso y cómo mejorarlo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• Nivel 2: Evaluación del conocimiento de los alumnos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• Nivel 3: Evaluación del proceso de transferencia de la formación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• Nivel 4: Evaluación del impacto económico del curso (si se desarrolla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como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producto comercial)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En la fase de evaluación debe incluirse la aplicación de los resultados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para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la mejora del curso; por ejemplo, una evaluación de Nivel 1 debería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revelar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errores gramaticales en el texto de modo que pudieran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corregirse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. Si en curso está basado en web, la corrección puede realizarse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inmediatamente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. Del mismo modo, si los alumnos no pueden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aplicar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lo que aprenden (Nivel 3), es necesaria una importante corrección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de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las actividades y de las estrategias que nos llevaría de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nuevo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a la fase de diseño o desarrollo. A partir de la implementación,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la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evaluación y los ajustes y las correcciones son continuos y en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algún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punto llevan a una segunda generación del curso (un curso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sustancialmente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diferente) o a la extinción del mismo si este ya no es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relevante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. Las actividades que forman la evaluación son: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• Realizar evaluaciones formativas y </w:t>
      </w:r>
      <w:proofErr w:type="spell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sumativas</w:t>
      </w:r>
      <w:proofErr w:type="spellEnd"/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• Interpretar los resultados de las evaluaciones de los alumnos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• Recoger las opiniones de los graduados y de los no graduados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• Revisar las actividades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• Si es un prototipo, llevar a cabo los ajustes adecuados al modelo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El modelo ADDIE puede adaptarse a numerosas situaciones. El modelo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es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flexible y aplicable a diferentes situaciones </w:t>
      </w:r>
      <w:proofErr w:type="spell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instruccionales</w:t>
      </w:r>
      <w:proofErr w:type="spell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,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Heavy" w:hAnsi="FuturaBT-Heavy" w:cs="FuturaBT-Heavy"/>
          <w:color w:val="984806" w:themeColor="accent6" w:themeShade="80"/>
          <w:sz w:val="18"/>
          <w:szCs w:val="18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proporcionando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un marco que incluye todos los elementos impor</w:t>
      </w:r>
      <w:r w:rsidRPr="00365C94">
        <w:rPr>
          <w:rFonts w:ascii="FuturaBT-Heavy" w:hAnsi="FuturaBT-Heavy" w:cs="FuturaBT-Heavy"/>
          <w:color w:val="984806" w:themeColor="accent6" w:themeShade="80"/>
          <w:sz w:val="18"/>
          <w:szCs w:val="18"/>
        </w:rPr>
        <w:t>31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HeavyItalic" w:hAnsi="FuturaBT-HeavyItalic" w:cs="FuturaBT-HeavyItalic"/>
          <w:i/>
          <w:iCs/>
          <w:color w:val="984806" w:themeColor="accent6" w:themeShade="80"/>
          <w:sz w:val="24"/>
          <w:szCs w:val="24"/>
        </w:rPr>
      </w:pPr>
      <w:r w:rsidRPr="00365C94">
        <w:rPr>
          <w:rFonts w:ascii="FuturaBT-HeavyItalic" w:hAnsi="FuturaBT-HeavyItalic" w:cs="FuturaBT-HeavyItalic"/>
          <w:i/>
          <w:iCs/>
          <w:color w:val="984806" w:themeColor="accent6" w:themeShade="80"/>
          <w:sz w:val="24"/>
          <w:szCs w:val="24"/>
        </w:rPr>
        <w:t xml:space="preserve">Modelos de diseño </w:t>
      </w:r>
      <w:proofErr w:type="spellStart"/>
      <w:r w:rsidRPr="00365C94">
        <w:rPr>
          <w:rFonts w:ascii="FuturaBT-HeavyItalic" w:hAnsi="FuturaBT-HeavyItalic" w:cs="FuturaBT-HeavyItalic"/>
          <w:i/>
          <w:iCs/>
          <w:color w:val="984806" w:themeColor="accent6" w:themeShade="80"/>
          <w:sz w:val="24"/>
          <w:szCs w:val="24"/>
        </w:rPr>
        <w:t>instruccional</w:t>
      </w:r>
      <w:proofErr w:type="spellEnd"/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Heavy" w:hAnsi="FuturaBT-Heavy" w:cs="FuturaBT-Heavy"/>
          <w:color w:val="984806" w:themeColor="accent6" w:themeShade="80"/>
          <w:sz w:val="40"/>
          <w:szCs w:val="40"/>
        </w:rPr>
      </w:pPr>
      <w:r w:rsidRPr="00365C94">
        <w:rPr>
          <w:rFonts w:ascii="FuturaBT-Heavy" w:hAnsi="FuturaBT-Heavy" w:cs="FuturaBT-Heavy"/>
          <w:color w:val="984806" w:themeColor="accent6" w:themeShade="80"/>
          <w:sz w:val="40"/>
          <w:szCs w:val="40"/>
        </w:rPr>
        <w:t>ANOTACIONES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Heavy" w:hAnsi="FuturaBT-Heavy" w:cs="FuturaBT-Heavy"/>
          <w:color w:val="984806" w:themeColor="accent6" w:themeShade="80"/>
          <w:sz w:val="15"/>
          <w:szCs w:val="15"/>
        </w:rPr>
      </w:pPr>
      <w:r w:rsidRPr="00365C94">
        <w:rPr>
          <w:rFonts w:ascii="Symbol" w:hAnsi="Symbol" w:cs="Symbol"/>
          <w:color w:val="984806" w:themeColor="accent6" w:themeShade="80"/>
          <w:sz w:val="15"/>
          <w:szCs w:val="15"/>
        </w:rPr>
        <w:t></w:t>
      </w:r>
      <w:r w:rsidRPr="00365C94">
        <w:rPr>
          <w:rFonts w:ascii="Symbol" w:hAnsi="Symbol" w:cs="Symbol"/>
          <w:color w:val="984806" w:themeColor="accent6" w:themeShade="80"/>
          <w:sz w:val="15"/>
          <w:szCs w:val="15"/>
        </w:rPr>
        <w:t></w:t>
      </w:r>
      <w:r w:rsidRPr="00365C94">
        <w:rPr>
          <w:rFonts w:ascii="FuturaBT-Heavy" w:hAnsi="FuturaBT-Heavy" w:cs="FuturaBT-Heavy"/>
          <w:color w:val="984806" w:themeColor="accent6" w:themeShade="80"/>
          <w:sz w:val="15"/>
          <w:szCs w:val="15"/>
        </w:rPr>
        <w:t>FUOC • P06/M1103/01179</w:t>
      </w:r>
    </w:p>
    <w:p w:rsidR="00365C94" w:rsidRPr="00365C94" w:rsidRDefault="00365C94" w:rsidP="00365C94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984806" w:themeColor="accent6" w:themeShade="80"/>
          <w:sz w:val="21"/>
          <w:szCs w:val="21"/>
        </w:rPr>
      </w:pPr>
      <w:proofErr w:type="spellStart"/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tantes</w:t>
      </w:r>
      <w:proofErr w:type="spellEnd"/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. Más adelante en este módulo, verá el ADDIE adaptado para</w:t>
      </w:r>
    </w:p>
    <w:p w:rsidR="00E002DF" w:rsidRPr="00365C94" w:rsidRDefault="00365C94" w:rsidP="00365C94">
      <w:pPr>
        <w:spacing w:line="360" w:lineRule="auto"/>
        <w:jc w:val="both"/>
        <w:rPr>
          <w:color w:val="984806" w:themeColor="accent6" w:themeShade="80"/>
        </w:rPr>
      </w:pPr>
      <w:proofErr w:type="gramStart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>su</w:t>
      </w:r>
      <w:proofErr w:type="gramEnd"/>
      <w:r w:rsidRPr="00365C94">
        <w:rPr>
          <w:rFonts w:ascii="FuturaBT-Book" w:hAnsi="FuturaBT-Book" w:cs="FuturaBT-Book"/>
          <w:color w:val="984806" w:themeColor="accent6" w:themeShade="80"/>
          <w:sz w:val="21"/>
          <w:szCs w:val="21"/>
        </w:rPr>
        <w:t xml:space="preserve"> uso en un entorno de aprendizaje basado en web.</w:t>
      </w:r>
    </w:p>
    <w:sectPr w:rsidR="00E002DF" w:rsidRPr="00365C94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Heavy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65C94"/>
    <w:rsid w:val="0008625C"/>
    <w:rsid w:val="00215FEE"/>
    <w:rsid w:val="00365C94"/>
    <w:rsid w:val="00797E3B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2016-10-26T03:36:00Z</dcterms:created>
  <dcterms:modified xsi:type="dcterms:W3CDTF">2016-10-26T03:37:00Z</dcterms:modified>
</cp:coreProperties>
</file>