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1B" w:rsidRDefault="00B7681B" w:rsidP="00B7681B">
      <w:pPr>
        <w:pStyle w:val="Ttulo2"/>
        <w:jc w:val="both"/>
      </w:pPr>
      <w:r>
        <w:t xml:space="preserve">Discurso publicitario </w:t>
      </w:r>
    </w:p>
    <w:p w:rsidR="00B7681B" w:rsidRPr="00045A80" w:rsidRDefault="00B7681B" w:rsidP="00B7681B">
      <w:pPr>
        <w:spacing w:before="30" w:after="0"/>
        <w:ind w:left="1417"/>
        <w:jc w:val="both"/>
      </w:pPr>
    </w:p>
    <w:p w:rsidR="00B7681B" w:rsidRPr="00B7681B" w:rsidRDefault="00B7681B" w:rsidP="00B7681B">
      <w:pPr>
        <w:ind w:left="2137"/>
        <w:rPr>
          <w:rFonts w:ascii="Times New Roman" w:hAnsi="Times New Roman" w:cs="Times New Roman"/>
        </w:rPr>
      </w:pPr>
      <w:bookmarkStart w:id="0" w:name="_GoBack"/>
      <w:r w:rsidRPr="00B7681B">
        <w:rPr>
          <w:rFonts w:ascii="Times New Roman" w:hAnsi="Times New Roman" w:cs="Times New Roman"/>
        </w:rPr>
        <w:t>Se necesitan los siguientes pasos para llevarlo a cabo:</w:t>
      </w:r>
    </w:p>
    <w:p w:rsidR="00B7681B" w:rsidRPr="00B7681B" w:rsidRDefault="00B7681B" w:rsidP="00B7681B">
      <w:pPr>
        <w:ind w:left="2137"/>
        <w:rPr>
          <w:rFonts w:ascii="Times New Roman" w:hAnsi="Times New Roman" w:cs="Times New Roman"/>
        </w:rPr>
      </w:pPr>
      <w:r w:rsidRPr="00B7681B">
        <w:rPr>
          <w:rFonts w:ascii="Times New Roman" w:hAnsi="Times New Roman" w:cs="Times New Roman"/>
        </w:rPr>
        <w:t>*Atractivo: Tiene que sorprender al lector.</w:t>
      </w:r>
    </w:p>
    <w:p w:rsidR="00B7681B" w:rsidRPr="00B7681B" w:rsidRDefault="00B7681B" w:rsidP="00B7681B">
      <w:pPr>
        <w:ind w:left="2137"/>
        <w:rPr>
          <w:rFonts w:ascii="Times New Roman" w:hAnsi="Times New Roman" w:cs="Times New Roman"/>
        </w:rPr>
      </w:pPr>
      <w:r w:rsidRPr="00B7681B">
        <w:rPr>
          <w:rFonts w:ascii="Times New Roman" w:hAnsi="Times New Roman" w:cs="Times New Roman"/>
        </w:rPr>
        <w:t>*Sorprendente: El lector  solo leerá lo que llame su atención, por lo que el discurso publicitario tiene que ofrecer siempre algo nuevo.</w:t>
      </w:r>
    </w:p>
    <w:p w:rsidR="00B7681B" w:rsidRPr="00B7681B" w:rsidRDefault="00B7681B" w:rsidP="00B7681B">
      <w:pPr>
        <w:ind w:left="2137"/>
        <w:rPr>
          <w:rFonts w:ascii="Times New Roman" w:hAnsi="Times New Roman" w:cs="Times New Roman"/>
        </w:rPr>
      </w:pPr>
      <w:r w:rsidRPr="00B7681B">
        <w:rPr>
          <w:rFonts w:ascii="Times New Roman" w:hAnsi="Times New Roman" w:cs="Times New Roman"/>
        </w:rPr>
        <w:t xml:space="preserve">*Breve: Nadie está dispuesto a perder mucho tiempo leyendo un texto publicitario, por muy interesante que sea, el discurso  ha de ser breve, directo, condensado  y casi telegráfico </w:t>
      </w:r>
      <w:sdt>
        <w:sdtPr>
          <w:rPr>
            <w:rFonts w:ascii="Times New Roman" w:hAnsi="Times New Roman" w:cs="Times New Roman"/>
          </w:rPr>
          <w:id w:val="-1220436332"/>
          <w:citation/>
        </w:sdtPr>
        <w:sdtContent>
          <w:r w:rsidRPr="00B7681B">
            <w:rPr>
              <w:rFonts w:ascii="Times New Roman" w:hAnsi="Times New Roman" w:cs="Times New Roman"/>
            </w:rPr>
            <w:fldChar w:fldCharType="begin"/>
          </w:r>
          <w:r w:rsidRPr="00B7681B">
            <w:rPr>
              <w:rFonts w:ascii="Times New Roman" w:hAnsi="Times New Roman" w:cs="Times New Roman"/>
            </w:rPr>
            <w:instrText xml:space="preserve">CITATION Eri12 \p 88 \l 2058 </w:instrText>
          </w:r>
          <w:r w:rsidRPr="00B7681B">
            <w:rPr>
              <w:rFonts w:ascii="Times New Roman" w:hAnsi="Times New Roman" w:cs="Times New Roman"/>
            </w:rPr>
            <w:fldChar w:fldCharType="separate"/>
          </w:r>
          <w:r w:rsidRPr="00B7681B">
            <w:rPr>
              <w:rFonts w:ascii="Times New Roman" w:hAnsi="Times New Roman" w:cs="Times New Roman"/>
              <w:noProof/>
            </w:rPr>
            <w:t>(Muñoz, 2012, pág. 88)</w:t>
          </w:r>
          <w:r w:rsidRPr="00B7681B">
            <w:rPr>
              <w:rFonts w:ascii="Times New Roman" w:hAnsi="Times New Roman" w:cs="Times New Roman"/>
            </w:rPr>
            <w:fldChar w:fldCharType="end"/>
          </w:r>
        </w:sdtContent>
      </w:sdt>
      <w:r w:rsidRPr="00B7681B">
        <w:rPr>
          <w:rFonts w:ascii="Times New Roman" w:hAnsi="Times New Roman" w:cs="Times New Roman"/>
        </w:rPr>
        <w:t>.</w:t>
      </w:r>
    </w:p>
    <w:bookmarkEnd w:id="0"/>
    <w:p w:rsidR="00717F54" w:rsidRPr="00B7681B" w:rsidRDefault="00717F54">
      <w:pPr>
        <w:rPr>
          <w:rFonts w:ascii="Times New Roman" w:hAnsi="Times New Roman" w:cs="Times New Roman"/>
        </w:rPr>
      </w:pPr>
    </w:p>
    <w:sectPr w:rsidR="00717F54" w:rsidRPr="00B768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871B6"/>
    <w:multiLevelType w:val="multilevel"/>
    <w:tmpl w:val="F00ED948"/>
    <w:lvl w:ilvl="0">
      <w:start w:val="1"/>
      <w:numFmt w:val="decimal"/>
      <w:lvlText w:val="%1."/>
      <w:lvlJc w:val="left"/>
      <w:pPr>
        <w:ind w:left="2137" w:hanging="360"/>
      </w:pPr>
    </w:lvl>
    <w:lvl w:ilvl="1">
      <w:start w:val="1"/>
      <w:numFmt w:val="decimal"/>
      <w:isLgl/>
      <w:lvlText w:val="%1.%2"/>
      <w:lvlJc w:val="left"/>
      <w:pPr>
        <w:ind w:left="24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5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29"/>
    <w:rsid w:val="000C586B"/>
    <w:rsid w:val="000F719D"/>
    <w:rsid w:val="001969D0"/>
    <w:rsid w:val="003B01B9"/>
    <w:rsid w:val="004761DF"/>
    <w:rsid w:val="00501BA0"/>
    <w:rsid w:val="00715623"/>
    <w:rsid w:val="00717F54"/>
    <w:rsid w:val="00A73658"/>
    <w:rsid w:val="00AD5B29"/>
    <w:rsid w:val="00B7681B"/>
    <w:rsid w:val="00D92030"/>
    <w:rsid w:val="00F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81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01B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A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3B01B9"/>
    <w:rPr>
      <w:rFonts w:ascii="Times New Roman" w:eastAsiaTheme="majorEastAsia" w:hAnsi="Times New Roman" w:cstheme="majorBidi"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81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01B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A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3B01B9"/>
    <w:rPr>
      <w:rFonts w:ascii="Times New Roman" w:eastAsiaTheme="majorEastAsia" w:hAnsi="Times New Roman" w:cstheme="majorBidi"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Eri12</b:Tag>
    <b:SourceType>Book</b:SourceType>
    <b:Guid>{5B09CA80-92D9-46A2-8675-8BFE5725735C}</b:Guid>
    <b:Title>FUNDAMENTOS DE INVESTIGACION</b:Title>
    <b:Year>2012</b:Year>
    <b:Publisher>ALPHAOMEGA</b:Publisher>
    <b:Author>
      <b:Author>
        <b:NameList>
          <b:Person>
            <b:Last>Muñoz</b:Last>
            <b:First>Erika</b:First>
            <b:Middle>Maria Lara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D4B55E1-29D8-4235-8B76-E0E3C3EF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2</cp:revision>
  <dcterms:created xsi:type="dcterms:W3CDTF">2016-10-27T23:30:00Z</dcterms:created>
  <dcterms:modified xsi:type="dcterms:W3CDTF">2016-10-27T23:30:00Z</dcterms:modified>
</cp:coreProperties>
</file>