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0D" w:rsidRPr="008F100F" w:rsidRDefault="00ED460D" w:rsidP="00ED460D">
      <w:pPr>
        <w:jc w:val="both"/>
        <w:rPr>
          <w:rFonts w:ascii="Times New Roman" w:hAnsi="Times New Roman" w:cs="Times New Roman"/>
          <w:sz w:val="24"/>
          <w:szCs w:val="24"/>
        </w:rPr>
      </w:pPr>
      <w:r w:rsidRPr="008F100F">
        <w:rPr>
          <w:rFonts w:ascii="Times New Roman" w:hAnsi="Times New Roman" w:cs="Times New Roman"/>
          <w:sz w:val="24"/>
          <w:szCs w:val="24"/>
        </w:rPr>
        <w:t xml:space="preserve">Reglas generales de acentuación </w:t>
      </w:r>
    </w:p>
    <w:p w:rsidR="00ED460D" w:rsidRDefault="00ED460D" w:rsidP="00ED460D">
      <w:r w:rsidRPr="008F100F">
        <w:rPr>
          <w:rFonts w:ascii="Times New Roman" w:hAnsi="Times New Roman" w:cs="Times New Roman"/>
          <w:sz w:val="24"/>
          <w:szCs w:val="24"/>
        </w:rPr>
        <w:t>Llevan acento ortográfico, salvo excepciones:</w:t>
      </w:r>
    </w:p>
    <w:p w:rsidR="00ED460D" w:rsidRPr="008F100F" w:rsidRDefault="00ED460D" w:rsidP="00ED460D">
      <w:pPr>
        <w:pStyle w:val="Prrafodelista"/>
        <w:numPr>
          <w:ilvl w:val="0"/>
          <w:numId w:val="1"/>
        </w:numPr>
        <w:spacing w:line="360" w:lineRule="auto"/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100F">
        <w:rPr>
          <w:rFonts w:ascii="Times New Roman" w:hAnsi="Times New Roman" w:cs="Times New Roman"/>
          <w:sz w:val="24"/>
          <w:szCs w:val="24"/>
        </w:rPr>
        <w:t>Las palabras agudas que, teniendo varias silabas, terminan en n, s o vocal (por ejemplo: mamá, corazón, inglés, anís, café, haré, comió, aquí).</w:t>
      </w:r>
    </w:p>
    <w:p w:rsidR="00ED460D" w:rsidRPr="008F100F" w:rsidRDefault="00ED460D" w:rsidP="00ED460D">
      <w:pPr>
        <w:pStyle w:val="Prrafodelista"/>
        <w:numPr>
          <w:ilvl w:val="0"/>
          <w:numId w:val="2"/>
        </w:numPr>
        <w:spacing w:line="360" w:lineRule="auto"/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100F">
        <w:rPr>
          <w:rFonts w:ascii="Times New Roman" w:hAnsi="Times New Roman" w:cs="Times New Roman"/>
          <w:sz w:val="24"/>
          <w:szCs w:val="24"/>
        </w:rPr>
        <w:t>Las palabras monosílabas no se acentúan, salvo excepciones.</w:t>
      </w:r>
    </w:p>
    <w:p w:rsidR="00ED460D" w:rsidRPr="008F100F" w:rsidRDefault="00ED460D" w:rsidP="00ED460D">
      <w:pPr>
        <w:pStyle w:val="Prrafodelista"/>
        <w:numPr>
          <w:ilvl w:val="0"/>
          <w:numId w:val="1"/>
        </w:numPr>
        <w:spacing w:line="360" w:lineRule="auto"/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100F">
        <w:rPr>
          <w:rFonts w:ascii="Times New Roman" w:hAnsi="Times New Roman" w:cs="Times New Roman"/>
          <w:sz w:val="24"/>
          <w:szCs w:val="24"/>
        </w:rPr>
        <w:t>Las palabras graves que no terminen en n, s o vocal (fácil, láser, Víctor, árbol, automóvil, cáliz, carácter). Puede observarse que esta regla es justo la contraria a las palabras agudas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460D" w:rsidRPr="008F100F" w:rsidRDefault="00ED460D" w:rsidP="00ED460D">
      <w:pPr>
        <w:pStyle w:val="Prrafodelista"/>
        <w:numPr>
          <w:ilvl w:val="0"/>
          <w:numId w:val="1"/>
        </w:numPr>
        <w:spacing w:line="360" w:lineRule="auto"/>
        <w:ind w:left="1775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100F">
        <w:rPr>
          <w:rFonts w:ascii="Times New Roman" w:hAnsi="Times New Roman" w:cs="Times New Roman"/>
          <w:sz w:val="24"/>
          <w:szCs w:val="24"/>
        </w:rPr>
        <w:t>Las palabras esdrújulas y sobresdrújulas se acentúan casi todas (miércoles, sábado, dígamelo, obsérvese, término, último, informática, autónomo, México).</w:t>
      </w:r>
    </w:p>
    <w:p w:rsidR="00ED460D" w:rsidRPr="008F100F" w:rsidRDefault="00ED460D" w:rsidP="00ED460D">
      <w:pPr>
        <w:pStyle w:val="Prrafodelista"/>
        <w:numPr>
          <w:ilvl w:val="0"/>
          <w:numId w:val="2"/>
        </w:numPr>
        <w:ind w:left="1775" w:hanging="357"/>
        <w:rPr>
          <w:rFonts w:ascii="Times New Roman" w:hAnsi="Times New Roman" w:cs="Times New Roman"/>
          <w:sz w:val="24"/>
          <w:szCs w:val="24"/>
        </w:rPr>
      </w:pPr>
      <w:r w:rsidRPr="008F100F">
        <w:rPr>
          <w:rFonts w:ascii="Times New Roman" w:hAnsi="Times New Roman" w:cs="Times New Roman"/>
          <w:sz w:val="24"/>
          <w:szCs w:val="24"/>
        </w:rPr>
        <w:t>La excepción son los adverbios que acaban en mente, ya que solo se acentúan si el adjetivo correspondiente tiene acento (fácilmente de fácil-, próximamente -de próximo-, lógicamente -de lógico-, íntimamente -de intimo-; no se acentúan los adverbios realmente, suavemente, eficazmente, misteriosamente, felizmente).</w:t>
      </w:r>
    </w:p>
    <w:p w:rsidR="00ED460D" w:rsidRDefault="00ED460D" w:rsidP="00ED460D">
      <w:pPr>
        <w:pStyle w:val="Prrafodelista"/>
        <w:numPr>
          <w:ilvl w:val="0"/>
          <w:numId w:val="3"/>
        </w:numPr>
        <w:ind w:left="1775" w:hanging="357"/>
      </w:pPr>
      <w:r w:rsidRPr="008F100F">
        <w:rPr>
          <w:rFonts w:ascii="Times New Roman" w:hAnsi="Times New Roman" w:cs="Times New Roman"/>
          <w:sz w:val="24"/>
          <w:szCs w:val="24"/>
        </w:rPr>
        <w:t>Las letras mayúsculas siempre que las reglas generales de acentuación les corresponda llevarlo (Álvaro, MÉXICO, AUTÓNOMA, ÉL, EDICIÓN, ÁNGEL).</w:t>
      </w:r>
      <w:sdt>
        <w:sdtPr>
          <w:rPr>
            <w:rFonts w:ascii="Times New Roman" w:hAnsi="Times New Roman" w:cs="Times New Roman"/>
            <w:sz w:val="24"/>
            <w:szCs w:val="24"/>
          </w:rPr>
          <w:id w:val="-1539496170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Lar11 \p 112-113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D33DE3">
            <w:rPr>
              <w:rFonts w:ascii="Times New Roman" w:hAnsi="Times New Roman" w:cs="Times New Roman"/>
              <w:noProof/>
              <w:sz w:val="24"/>
              <w:szCs w:val="24"/>
            </w:rPr>
            <w:t>(Lara, 2011, págs. 112-113)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5405C4" w:rsidRDefault="005405C4">
      <w:bookmarkStart w:id="0" w:name="_GoBack"/>
      <w:bookmarkEnd w:id="0"/>
    </w:p>
    <w:sectPr w:rsidR="005405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917A9"/>
    <w:multiLevelType w:val="hybridMultilevel"/>
    <w:tmpl w:val="57E67B7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4083836"/>
    <w:multiLevelType w:val="hybridMultilevel"/>
    <w:tmpl w:val="63A2BF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75741D"/>
    <w:multiLevelType w:val="hybridMultilevel"/>
    <w:tmpl w:val="E46464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0D"/>
    <w:rsid w:val="005405C4"/>
    <w:rsid w:val="00ED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60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460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6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60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460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Lar11</b:Tag>
    <b:SourceType>Book</b:SourceType>
    <b:Guid>{4DFE7925-1CDE-4562-B54B-4B77715BE96B}</b:Guid>
    <b:Title>Fundamentos de Investigacion</b:Title>
    <b:Year>2011</b:Year>
    <b:Publisher>Alfaomega</b:Publisher>
    <b:Author>
      <b:Author>
        <b:NameList>
          <b:Person>
            <b:Last>Lara</b:Last>
            <b:Middle>Maria</b:Middle>
            <b:First>Erica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21FBAA00-6276-4FEB-8904-BC2FFA9C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xBENITOx</dc:creator>
  <cp:lastModifiedBy>xBENITOx</cp:lastModifiedBy>
  <cp:revision>1</cp:revision>
  <dcterms:created xsi:type="dcterms:W3CDTF">2016-10-27T17:17:00Z</dcterms:created>
  <dcterms:modified xsi:type="dcterms:W3CDTF">2016-10-27T17:17:00Z</dcterms:modified>
</cp:coreProperties>
</file>