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D" w:rsidRPr="008F100F" w:rsidRDefault="00ED460D" w:rsidP="00ED460D">
      <w:pPr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Reglas generales de acentuación </w:t>
      </w:r>
    </w:p>
    <w:p w:rsidR="00ED460D" w:rsidRDefault="00ED460D" w:rsidP="00ED460D">
      <w:r w:rsidRPr="008F100F">
        <w:rPr>
          <w:rFonts w:ascii="Times New Roman" w:hAnsi="Times New Roman" w:cs="Times New Roman"/>
          <w:sz w:val="24"/>
          <w:szCs w:val="24"/>
        </w:rPr>
        <w:t>Llevan acento ortográfico, salvo excepciones:</w:t>
      </w:r>
    </w:p>
    <w:p w:rsidR="00ED460D" w:rsidRPr="008F100F" w:rsidRDefault="00ED460D" w:rsidP="00ED460D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Las palabras agudas que, teniendo varias silabas, terminan en n, s o vocal (por ejemplo: mamá, corazón, inglés, anís, café, haré, comió, aquí).</w:t>
      </w:r>
    </w:p>
    <w:p w:rsidR="00ED460D" w:rsidRPr="008F100F" w:rsidRDefault="00ED460D" w:rsidP="00ED460D">
      <w:pPr>
        <w:pStyle w:val="Prrafodelista"/>
        <w:numPr>
          <w:ilvl w:val="0"/>
          <w:numId w:val="2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Las palabras monosílabas no se acentúan, salvo excepciones.</w:t>
      </w:r>
    </w:p>
    <w:p w:rsidR="00ED460D" w:rsidRPr="008F100F" w:rsidRDefault="00ED460D" w:rsidP="00ED460D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Las palabras graves que no terminen en n, s o vocal (fácil, láser, Víctor, árbol, automóvil, cáliz, carácter). Puede observarse que esta regla es justo la contraria a las palabras agudas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60D" w:rsidRPr="008F100F" w:rsidRDefault="00ED460D" w:rsidP="00ED460D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Las palabras esdrújulas y sobresdrújulas se acentúan casi todas (miércoles, sábado, dígamelo, obsérvese, término, último, informática, autónomo, México).</w:t>
      </w:r>
    </w:p>
    <w:p w:rsidR="00ED460D" w:rsidRPr="008F100F" w:rsidRDefault="00ED460D" w:rsidP="00ED460D">
      <w:pPr>
        <w:pStyle w:val="Prrafodelista"/>
        <w:numPr>
          <w:ilvl w:val="0"/>
          <w:numId w:val="2"/>
        </w:numPr>
        <w:ind w:left="1775" w:hanging="357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La excepción son los adverbios que acaban en mente, ya que solo se acentúan si el adjetivo correspondiente tiene acento (fácilmente de fácil-, próximamente -de próximo-, lógicamente -de lógico-, íntimamente -de intimo-; no se acentúan los adverbios realmente, suavemente, eficazmente, misteriosamente, felizmente).</w:t>
      </w:r>
    </w:p>
    <w:p w:rsidR="00ED460D" w:rsidRDefault="00ED460D" w:rsidP="00ED460D">
      <w:pPr>
        <w:pStyle w:val="Prrafodelista"/>
        <w:numPr>
          <w:ilvl w:val="0"/>
          <w:numId w:val="3"/>
        </w:numPr>
        <w:ind w:left="1775" w:hanging="357"/>
      </w:pPr>
      <w:r w:rsidRPr="008F100F">
        <w:rPr>
          <w:rFonts w:ascii="Times New Roman" w:hAnsi="Times New Roman" w:cs="Times New Roman"/>
          <w:sz w:val="24"/>
          <w:szCs w:val="24"/>
        </w:rPr>
        <w:t>Las letras mayúsculas siempre que las reglas generales de acentuación les corresponda llevarlo (Álvaro, MÉXICO, AUTÓNOMA, ÉL, EDICIÓN, ÁNGEL).</w:t>
      </w:r>
      <w:sdt>
        <w:sdtPr>
          <w:rPr>
            <w:rFonts w:ascii="Times New Roman" w:hAnsi="Times New Roman" w:cs="Times New Roman"/>
            <w:sz w:val="24"/>
            <w:szCs w:val="24"/>
          </w:rPr>
          <w:id w:val="-153949617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Lar11 \p 112-113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D33DE3">
            <w:rPr>
              <w:rFonts w:ascii="Times New Roman" w:hAnsi="Times New Roman" w:cs="Times New Roman"/>
              <w:noProof/>
              <w:sz w:val="24"/>
              <w:szCs w:val="24"/>
            </w:rPr>
            <w:t>(Lara, 2011, págs. 112-113)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405C4" w:rsidRDefault="005405C4">
      <w:bookmarkStart w:id="0" w:name="_GoBack"/>
      <w:bookmarkEnd w:id="0"/>
    </w:p>
    <w:sectPr w:rsidR="00540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7A9"/>
    <w:multiLevelType w:val="hybridMultilevel"/>
    <w:tmpl w:val="57E67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083836"/>
    <w:multiLevelType w:val="hybridMultilevel"/>
    <w:tmpl w:val="63A2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5741D"/>
    <w:multiLevelType w:val="hybridMultilevel"/>
    <w:tmpl w:val="E4646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D"/>
    <w:rsid w:val="005405C4"/>
    <w:rsid w:val="00E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0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6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0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6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</b:Tag>
    <b:SourceType>Book</b:SourceType>
    <b:Guid>{4DFE7925-1CDE-4562-B54B-4B77715BE96B}</b:Guid>
    <b:Title>Fundamentos de Investigacion</b:Title>
    <b:Year>2011</b:Year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1FBAA00-6276-4FEB-8904-BC2FFA9C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1</cp:revision>
  <dcterms:created xsi:type="dcterms:W3CDTF">2016-10-27T17:17:00Z</dcterms:created>
  <dcterms:modified xsi:type="dcterms:W3CDTF">2016-10-27T17:17:00Z</dcterms:modified>
</cp:coreProperties>
</file>