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BD15BF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BD15BF">
        <w:rPr>
          <w:rFonts w:ascii="Times New Roman" w:hAnsi="Times New Roman" w:cs="Times New Roman"/>
          <w:sz w:val="24"/>
        </w:rPr>
        <w:t xml:space="preserve">Las variables que se investigan en un estudio quedan identificadas desde el momento que se define el </w:t>
      </w:r>
      <w:r w:rsidR="000D2605" w:rsidRPr="00BD15BF">
        <w:rPr>
          <w:rFonts w:ascii="Times New Roman" w:hAnsi="Times New Roman" w:cs="Times New Roman"/>
          <w:sz w:val="24"/>
        </w:rPr>
        <w:t>problema</w:t>
      </w:r>
      <w:r w:rsidR="000D2605">
        <w:rPr>
          <w:rFonts w:ascii="Times New Roman" w:hAnsi="Times New Roman" w:cs="Times New Roman"/>
          <w:sz w:val="24"/>
        </w:rPr>
        <w:t>. Este</w:t>
      </w:r>
      <w:r w:rsidRPr="00BD15BF">
        <w:rPr>
          <w:rFonts w:ascii="Times New Roman" w:hAnsi="Times New Roman" w:cs="Times New Roman"/>
          <w:sz w:val="24"/>
        </w:rPr>
        <w:t xml:space="preserve"> proceso de identificación continua cuando se trabaja en el marco teórico, momento en que se identifi</w:t>
      </w:r>
      <w:r w:rsidR="009930BC">
        <w:rPr>
          <w:rFonts w:ascii="Times New Roman" w:hAnsi="Times New Roman" w:cs="Times New Roman"/>
          <w:sz w:val="24"/>
        </w:rPr>
        <w:t xml:space="preserve">can las variables secundarias y se </w:t>
      </w:r>
      <w:r w:rsidRPr="00BD15BF">
        <w:rPr>
          <w:rFonts w:ascii="Times New Roman" w:hAnsi="Times New Roman" w:cs="Times New Roman"/>
          <w:sz w:val="24"/>
        </w:rPr>
        <w:t>conceptúan las mismas.</w:t>
      </w:r>
      <w:r w:rsidR="002307B6">
        <w:rPr>
          <w:rFonts w:ascii="Times New Roman" w:hAnsi="Times New Roman" w:cs="Times New Roman"/>
          <w:sz w:val="24"/>
        </w:rPr>
        <w:t xml:space="preserve"> </w:t>
      </w:r>
      <w:r w:rsidR="002307B6" w:rsidRPr="00BD15BF">
        <w:rPr>
          <w:rFonts w:ascii="Times New Roman" w:hAnsi="Times New Roman" w:cs="Times New Roman"/>
          <w:sz w:val="24"/>
        </w:rPr>
        <w:t xml:space="preserve">El </w:t>
      </w:r>
      <w:r w:rsidR="002307B6">
        <w:rPr>
          <w:rFonts w:ascii="Times New Roman" w:hAnsi="Times New Roman" w:cs="Times New Roman"/>
          <w:sz w:val="24"/>
        </w:rPr>
        <w:t xml:space="preserve">proceso de llevar una </w:t>
      </w:r>
      <w:r w:rsidR="002307B6" w:rsidRPr="00BD15BF">
        <w:rPr>
          <w:rFonts w:ascii="Times New Roman" w:hAnsi="Times New Roman" w:cs="Times New Roman"/>
          <w:sz w:val="24"/>
        </w:rPr>
        <w:t xml:space="preserve">variable de un nivel abstracto a un plano operacional se denomina </w:t>
      </w:r>
      <w:r w:rsidR="002307B6" w:rsidRPr="002307B6">
        <w:rPr>
          <w:rFonts w:ascii="Times New Roman" w:hAnsi="Times New Roman" w:cs="Times New Roman"/>
          <w:sz w:val="24"/>
          <w:highlight w:val="yellow"/>
        </w:rPr>
        <w:t>operacionalización</w:t>
      </w:r>
      <w:r w:rsidR="002307B6">
        <w:rPr>
          <w:rFonts w:ascii="Times New Roman" w:hAnsi="Times New Roman" w:cs="Times New Roman"/>
          <w:sz w:val="24"/>
        </w:rPr>
        <w:t>.</w:t>
      </w:r>
      <w:sdt>
        <w:sdtPr>
          <w:rPr>
            <w:rFonts w:ascii="Times New Roman" w:hAnsi="Times New Roman" w:cs="Times New Roman"/>
            <w:sz w:val="24"/>
          </w:rPr>
          <w:id w:val="9879730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 w:rsidR="008E4319">
            <w:rPr>
              <w:rFonts w:ascii="Times New Roman" w:hAnsi="Times New Roman" w:cs="Times New Roman"/>
              <w:sz w:val="24"/>
            </w:rPr>
            <w:instrText xml:space="preserve">CITATION MarcadorDePosición1 \p 32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="008E4319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8E4319" w:rsidRPr="008E4319">
            <w:rPr>
              <w:rFonts w:ascii="Times New Roman" w:hAnsi="Times New Roman" w:cs="Times New Roman"/>
              <w:noProof/>
              <w:sz w:val="24"/>
            </w:rPr>
            <w:t>(Calderon Saldaña &amp; Alzamora Urcia, 2010, pág. 32)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4B6AEB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285019119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4B6AEB" w:rsidRPr="004B6AEB" w:rsidRDefault="004B6AEB" w:rsidP="004B6AEB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B6AEB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8E4319" w:rsidRDefault="004B6AEB" w:rsidP="008E4319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 w:rsidRPr="004B6AEB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4B6AEB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4B6AEB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8E4319">
                <w:rPr>
                  <w:noProof/>
                  <w:lang w:val="es-ES"/>
                </w:rPr>
                <w:t xml:space="preserve">Calderon Saldaña, J. P., &amp; Alzamora Urcia, L. A. (2010). </w:t>
              </w:r>
              <w:r w:rsidR="008E4319">
                <w:rPr>
                  <w:i/>
                  <w:iCs/>
                  <w:noProof/>
                  <w:lang w:val="es-ES"/>
                </w:rPr>
                <w:t>Metodologia de la Investigacion Cientifica En Postgrado.</w:t>
              </w:r>
              <w:r w:rsidR="008E4319">
                <w:rPr>
                  <w:noProof/>
                  <w:lang w:val="es-ES"/>
                </w:rPr>
                <w:t xml:space="preserve"> Lima.</w:t>
              </w:r>
            </w:p>
            <w:p w:rsidR="004B6AEB" w:rsidRDefault="004B6AEB" w:rsidP="008E4319">
              <w:pPr>
                <w:spacing w:line="480" w:lineRule="auto"/>
                <w:jc w:val="both"/>
              </w:pPr>
              <w:r w:rsidRPr="004B6AE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4B6AEB" w:rsidRPr="00BD15BF" w:rsidRDefault="004B6AEB" w:rsidP="000D2605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sectPr w:rsidR="004B6AEB" w:rsidRPr="00BD15BF" w:rsidSect="00BD15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A"/>
    <w:rsid w:val="0009547A"/>
    <w:rsid w:val="000D2605"/>
    <w:rsid w:val="002307B6"/>
    <w:rsid w:val="00462AF5"/>
    <w:rsid w:val="004B6AEB"/>
    <w:rsid w:val="008E4319"/>
    <w:rsid w:val="009930BC"/>
    <w:rsid w:val="00B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CCF2"/>
  <w15:chartTrackingRefBased/>
  <w15:docId w15:val="{4E3C9211-886F-4E1D-9382-F68DAE9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6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A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4B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{36F8D257-C283-4D3C-8480-B7C030F8D0E7}</b:Guid>
    <b:Title>Metodologia de la Investigacion Cientifica En Postgrado</b:Title>
    <b:Year>2010</b:Year>
    <b:Author>
      <b:Author>
        <b:NameList>
          <b:Person>
            <b:Last>Calderon Saldaña</b:Last>
            <b:Middle>Pahola</b:Middle>
            <b:First>Jully </b:First>
          </b:Person>
          <b:Person>
            <b:Last>Alzamora Urcia</b:Last>
            <b:Middle>Alex</b:Middle>
            <b:First>Luis</b:First>
          </b:Person>
        </b:NameList>
      </b:Author>
    </b:Author>
    <b:City>Lima</b:City>
    <b:RefOrder>1</b:RefOrder>
  </b:Source>
</b:Sources>
</file>

<file path=customXml/itemProps1.xml><?xml version="1.0" encoding="utf-8"?>
<ds:datastoreItem xmlns:ds="http://schemas.openxmlformats.org/officeDocument/2006/customXml" ds:itemID="{C5254FD0-8038-4288-989D-8124BC65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7</cp:revision>
  <dcterms:created xsi:type="dcterms:W3CDTF">2017-03-01T16:47:00Z</dcterms:created>
  <dcterms:modified xsi:type="dcterms:W3CDTF">2017-03-02T01:38:00Z</dcterms:modified>
</cp:coreProperties>
</file>