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FD5" w:rsidRDefault="00437FD5"/>
    <w:p w:rsidR="00696BFC" w:rsidRPr="008F64A4" w:rsidRDefault="00696BFC" w:rsidP="00696BFC">
      <w:pPr>
        <w:spacing w:after="200" w:line="276" w:lineRule="auto"/>
        <w:jc w:val="center"/>
        <w:rPr>
          <w:rFonts w:ascii="Arial" w:hAnsi="Arial" w:cs="Arial"/>
          <w:b/>
          <w:i/>
          <w:color w:val="002060"/>
          <w:sz w:val="32"/>
          <w:szCs w:val="32"/>
        </w:rPr>
      </w:pPr>
      <w:r w:rsidRPr="008F64A4">
        <w:rPr>
          <w:rFonts w:ascii="Arial" w:hAnsi="Arial" w:cs="Arial"/>
          <w:b/>
          <w:i/>
          <w:color w:val="002060"/>
          <w:sz w:val="32"/>
          <w:szCs w:val="32"/>
        </w:rPr>
        <w:t>UNIVERSIDAD PERUANA CAYETANO HEREDIA</w:t>
      </w:r>
    </w:p>
    <w:p w:rsidR="00696BFC" w:rsidRPr="0087219B" w:rsidRDefault="00696BFC" w:rsidP="00696BFC">
      <w:pPr>
        <w:spacing w:line="276" w:lineRule="auto"/>
        <w:jc w:val="center"/>
        <w:rPr>
          <w:rFonts w:ascii="Arial" w:hAnsi="Arial" w:cs="Arial"/>
          <w:b/>
          <w:i/>
          <w:color w:val="002060"/>
          <w:sz w:val="28"/>
          <w:szCs w:val="32"/>
        </w:rPr>
      </w:pPr>
      <w:r w:rsidRPr="0087219B">
        <w:rPr>
          <w:rFonts w:ascii="Arial" w:hAnsi="Arial" w:cs="Arial"/>
          <w:b/>
          <w:i/>
          <w:color w:val="002060"/>
          <w:sz w:val="28"/>
          <w:szCs w:val="32"/>
        </w:rPr>
        <w:t>FACULTAD DE EDUCACIÓN</w:t>
      </w:r>
    </w:p>
    <w:p w:rsidR="00696BFC" w:rsidRPr="0087219B" w:rsidRDefault="00696BFC" w:rsidP="00696BFC">
      <w:pPr>
        <w:spacing w:line="276" w:lineRule="auto"/>
        <w:jc w:val="center"/>
        <w:rPr>
          <w:rFonts w:ascii="Arial" w:hAnsi="Arial" w:cs="Arial"/>
          <w:b/>
          <w:i/>
          <w:color w:val="002060"/>
          <w:sz w:val="28"/>
          <w:szCs w:val="32"/>
        </w:rPr>
      </w:pPr>
      <w:r w:rsidRPr="0087219B">
        <w:rPr>
          <w:rFonts w:ascii="Arial" w:hAnsi="Arial" w:cs="Arial"/>
          <w:b/>
          <w:i/>
          <w:color w:val="002060"/>
          <w:sz w:val="28"/>
          <w:szCs w:val="32"/>
        </w:rPr>
        <w:t>UNIDAD DE POSGRADO Y ESPECIALIZACIÓN</w:t>
      </w:r>
    </w:p>
    <w:p w:rsidR="00696BFC" w:rsidRDefault="00696BFC" w:rsidP="00696BFC">
      <w:pPr>
        <w:spacing w:line="276" w:lineRule="auto"/>
        <w:jc w:val="center"/>
        <w:rPr>
          <w:rFonts w:ascii="Arial" w:hAnsi="Arial" w:cs="Arial"/>
          <w:b/>
          <w:i/>
          <w:sz w:val="28"/>
          <w:szCs w:val="32"/>
        </w:rPr>
      </w:pPr>
    </w:p>
    <w:p w:rsidR="00696BFC" w:rsidRPr="00904467" w:rsidRDefault="00696BFC" w:rsidP="00696BFC">
      <w:pPr>
        <w:spacing w:line="276" w:lineRule="auto"/>
        <w:jc w:val="center"/>
        <w:rPr>
          <w:rFonts w:ascii="Arial" w:hAnsi="Arial" w:cs="Arial"/>
          <w:b/>
          <w:i/>
          <w:sz w:val="28"/>
          <w:szCs w:val="32"/>
        </w:rPr>
      </w:pPr>
    </w:p>
    <w:p w:rsidR="00696BFC" w:rsidRDefault="00696BFC" w:rsidP="00696BFC">
      <w:pPr>
        <w:spacing w:after="200" w:line="276" w:lineRule="auto"/>
        <w:jc w:val="center"/>
        <w:rPr>
          <w:noProof/>
          <w:lang w:val="es-PE" w:eastAsia="es-PE"/>
        </w:rPr>
      </w:pPr>
      <w:r>
        <w:rPr>
          <w:noProof/>
          <w:lang w:val="es-PE" w:eastAsia="es-PE"/>
        </w:rPr>
        <w:drawing>
          <wp:inline distT="0" distB="0" distL="0" distR="0" wp14:anchorId="1BAC593B" wp14:editId="3DE7E48E">
            <wp:extent cx="1171575" cy="1570152"/>
            <wp:effectExtent l="0" t="0" r="0" b="0"/>
            <wp:docPr id="1" name="Imagen 1" descr="https://encrypted-tbn3.gstatic.com/images?q=tbn:ANd9GcTdFlIx11prZIG2tn17ZRFRwOG8tJGfntETemidECJVoREzmms6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dFlIx11prZIG2tn17ZRFRwOG8tJGfntETemidECJVoREzmms6E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96" cy="157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BFC" w:rsidRPr="00621F48" w:rsidRDefault="00696BFC" w:rsidP="00696BFC">
      <w:pPr>
        <w:spacing w:after="200" w:line="276" w:lineRule="auto"/>
        <w:jc w:val="center"/>
        <w:rPr>
          <w:rFonts w:ascii="Arial" w:hAnsi="Arial" w:cs="Arial"/>
          <w:b/>
          <w:color w:val="002060"/>
          <w:sz w:val="20"/>
          <w:szCs w:val="32"/>
        </w:rPr>
      </w:pPr>
    </w:p>
    <w:p w:rsidR="00696BFC" w:rsidRPr="008F64A4" w:rsidRDefault="00696BFC" w:rsidP="00696BFC">
      <w:pPr>
        <w:spacing w:after="200" w:line="276" w:lineRule="auto"/>
        <w:jc w:val="center"/>
        <w:rPr>
          <w:rFonts w:ascii="Arial" w:hAnsi="Arial" w:cs="Arial"/>
          <w:b/>
          <w:sz w:val="40"/>
          <w:szCs w:val="32"/>
        </w:rPr>
      </w:pPr>
      <w:r w:rsidRPr="008F64A4">
        <w:rPr>
          <w:rFonts w:ascii="Arial" w:hAnsi="Arial" w:cs="Arial"/>
          <w:b/>
          <w:sz w:val="40"/>
          <w:szCs w:val="32"/>
        </w:rPr>
        <w:t>CURSO</w:t>
      </w:r>
    </w:p>
    <w:p w:rsidR="00696BFC" w:rsidRDefault="00696BFC" w:rsidP="00696BFC">
      <w:pPr>
        <w:spacing w:before="120" w:after="120" w:line="276" w:lineRule="auto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8F64A4">
        <w:rPr>
          <w:rFonts w:ascii="Arial" w:hAnsi="Arial" w:cs="Arial"/>
          <w:b/>
          <w:color w:val="002060"/>
          <w:sz w:val="32"/>
          <w:szCs w:val="32"/>
        </w:rPr>
        <w:t>-------------------------------------------------------------------------------------</w:t>
      </w:r>
    </w:p>
    <w:p w:rsidR="00696BFC" w:rsidRPr="001323C6" w:rsidRDefault="00696BFC" w:rsidP="00696BFC">
      <w:pPr>
        <w:spacing w:before="120" w:line="276" w:lineRule="auto"/>
        <w:jc w:val="center"/>
        <w:rPr>
          <w:rFonts w:ascii="Arial" w:hAnsi="Arial" w:cs="Arial"/>
          <w:b/>
          <w:i/>
          <w:color w:val="002060"/>
          <w:sz w:val="40"/>
          <w:szCs w:val="32"/>
        </w:rPr>
      </w:pPr>
      <w:r w:rsidRPr="001323C6">
        <w:rPr>
          <w:rFonts w:ascii="Arial" w:hAnsi="Arial" w:cs="Arial"/>
          <w:b/>
          <w:i/>
          <w:color w:val="002060"/>
          <w:sz w:val="40"/>
          <w:szCs w:val="32"/>
        </w:rPr>
        <w:t>INNOVACIONES EN DOCENCIA UNIVERSITARIA</w:t>
      </w:r>
    </w:p>
    <w:p w:rsidR="00696BFC" w:rsidRPr="0087219B" w:rsidRDefault="00696BFC" w:rsidP="00696BFC">
      <w:pPr>
        <w:spacing w:after="200" w:line="276" w:lineRule="auto"/>
        <w:jc w:val="center"/>
        <w:rPr>
          <w:rFonts w:ascii="Arial" w:hAnsi="Arial" w:cs="Arial"/>
          <w:b/>
          <w:color w:val="002060"/>
          <w:sz w:val="40"/>
          <w:szCs w:val="32"/>
        </w:rPr>
      </w:pPr>
      <w:r>
        <w:rPr>
          <w:rFonts w:ascii="Arial" w:hAnsi="Arial" w:cs="Arial"/>
          <w:b/>
          <w:color w:val="002060"/>
          <w:sz w:val="40"/>
          <w:szCs w:val="32"/>
        </w:rPr>
        <w:t>--------------------------------------------------------------</w:t>
      </w:r>
      <w:bookmarkStart w:id="0" w:name="_GoBack"/>
      <w:bookmarkEnd w:id="0"/>
      <w:r>
        <w:rPr>
          <w:rFonts w:ascii="Arial" w:hAnsi="Arial" w:cs="Arial"/>
          <w:b/>
          <w:color w:val="002060"/>
          <w:sz w:val="40"/>
          <w:szCs w:val="32"/>
        </w:rPr>
        <w:t>------</w:t>
      </w:r>
    </w:p>
    <w:p w:rsidR="00696BFC" w:rsidRPr="008F64A4" w:rsidRDefault="00696BFC" w:rsidP="00696BFC">
      <w:pPr>
        <w:spacing w:after="200" w:line="276" w:lineRule="auto"/>
        <w:rPr>
          <w:rFonts w:ascii="Arial" w:hAnsi="Arial" w:cs="Arial"/>
          <w:b/>
          <w:sz w:val="14"/>
          <w:szCs w:val="32"/>
        </w:rPr>
      </w:pPr>
    </w:p>
    <w:p w:rsidR="00696BFC" w:rsidRDefault="00696BFC" w:rsidP="00696BFC">
      <w:pPr>
        <w:spacing w:after="200"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MÓDULO: ESTRATEGIAS DE ENSEÑANZA APRENDIZAJE</w:t>
      </w:r>
    </w:p>
    <w:p w:rsidR="00696BFC" w:rsidRPr="00696BFC" w:rsidRDefault="00696BFC" w:rsidP="00696BFC">
      <w:pPr>
        <w:rPr>
          <w:rFonts w:ascii="Arial" w:hAnsi="Arial" w:cs="Arial"/>
          <w:b/>
          <w:sz w:val="22"/>
          <w:szCs w:val="32"/>
        </w:rPr>
      </w:pPr>
    </w:p>
    <w:p w:rsidR="00696BFC" w:rsidRPr="00566C14" w:rsidRDefault="00696BFC" w:rsidP="00696BFC">
      <w:pPr>
        <w:spacing w:after="200" w:line="276" w:lineRule="auto"/>
        <w:rPr>
          <w:rFonts w:ascii="Arial" w:hAnsi="Arial" w:cs="Arial"/>
          <w:b/>
          <w:sz w:val="32"/>
          <w:szCs w:val="32"/>
        </w:rPr>
      </w:pPr>
      <w:r w:rsidRPr="00566C14">
        <w:rPr>
          <w:rFonts w:ascii="Arial" w:hAnsi="Arial" w:cs="Arial"/>
          <w:b/>
          <w:sz w:val="32"/>
          <w:szCs w:val="32"/>
        </w:rPr>
        <w:t>TEMA:</w:t>
      </w:r>
      <w:r>
        <w:rPr>
          <w:rFonts w:ascii="Arial" w:hAnsi="Arial" w:cs="Arial"/>
          <w:b/>
          <w:sz w:val="32"/>
          <w:szCs w:val="32"/>
        </w:rPr>
        <w:tab/>
      </w:r>
      <w:r w:rsidRPr="00696BFC">
        <w:rPr>
          <w:rFonts w:ascii="Arial" w:hAnsi="Arial" w:cs="Arial"/>
          <w:b/>
          <w:i/>
          <w:color w:val="FF3300"/>
          <w:sz w:val="32"/>
          <w:szCs w:val="32"/>
        </w:rPr>
        <w:t>MÉTODO DE CASOS</w:t>
      </w:r>
    </w:p>
    <w:p w:rsidR="00696BFC" w:rsidRPr="0087219B" w:rsidRDefault="00696BFC" w:rsidP="00696BFC">
      <w:pPr>
        <w:spacing w:after="200" w:line="276" w:lineRule="auto"/>
        <w:rPr>
          <w:rFonts w:ascii="Arial" w:hAnsi="Arial" w:cs="Arial"/>
          <w:sz w:val="10"/>
          <w:szCs w:val="32"/>
        </w:rPr>
      </w:pPr>
    </w:p>
    <w:p w:rsidR="00696BFC" w:rsidRDefault="00696BFC" w:rsidP="00696BFC">
      <w:pPr>
        <w:spacing w:after="200"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PARTICIPANTE:</w:t>
      </w:r>
    </w:p>
    <w:p w:rsidR="00696BFC" w:rsidRPr="00566C14" w:rsidRDefault="00696BFC" w:rsidP="00696BFC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</w:t>
      </w:r>
      <w:r w:rsidRPr="00566C14">
        <w:rPr>
          <w:rFonts w:ascii="Arial" w:hAnsi="Arial" w:cs="Arial"/>
          <w:b/>
          <w:color w:val="002060"/>
          <w:sz w:val="28"/>
          <w:szCs w:val="32"/>
        </w:rPr>
        <w:t>EDITH PILAR ORELLANA MENDOZA</w:t>
      </w:r>
    </w:p>
    <w:p w:rsidR="00696BFC" w:rsidRDefault="00696BFC" w:rsidP="00696BFC">
      <w:pPr>
        <w:spacing w:after="120"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002060"/>
          <w:sz w:val="28"/>
          <w:szCs w:val="32"/>
        </w:rPr>
        <w:tab/>
      </w:r>
      <w:r>
        <w:rPr>
          <w:rFonts w:ascii="Arial" w:hAnsi="Arial" w:cs="Arial"/>
          <w:b/>
          <w:color w:val="002060"/>
          <w:sz w:val="28"/>
          <w:szCs w:val="32"/>
        </w:rPr>
        <w:tab/>
      </w:r>
      <w:r>
        <w:rPr>
          <w:rFonts w:ascii="Arial" w:hAnsi="Arial" w:cs="Arial"/>
          <w:b/>
          <w:color w:val="002060"/>
          <w:sz w:val="28"/>
          <w:szCs w:val="32"/>
        </w:rPr>
        <w:tab/>
        <w:t xml:space="preserve">   </w:t>
      </w:r>
    </w:p>
    <w:p w:rsidR="001323C6" w:rsidRDefault="001323C6" w:rsidP="00696BFC">
      <w:pPr>
        <w:jc w:val="center"/>
        <w:rPr>
          <w:rFonts w:ascii="Arial" w:hAnsi="Arial" w:cs="Arial"/>
          <w:b/>
          <w:sz w:val="28"/>
          <w:szCs w:val="32"/>
        </w:rPr>
      </w:pPr>
    </w:p>
    <w:p w:rsidR="00696BFC" w:rsidRDefault="00696BFC" w:rsidP="00696BFC">
      <w:pPr>
        <w:jc w:val="center"/>
        <w:rPr>
          <w:rFonts w:ascii="Arial" w:hAnsi="Arial" w:cs="Arial"/>
          <w:b/>
          <w:sz w:val="28"/>
          <w:szCs w:val="32"/>
        </w:rPr>
      </w:pPr>
      <w:r w:rsidRPr="00696BFC">
        <w:rPr>
          <w:rFonts w:ascii="Arial" w:hAnsi="Arial" w:cs="Arial"/>
          <w:b/>
          <w:sz w:val="28"/>
          <w:szCs w:val="32"/>
        </w:rPr>
        <w:t>HUANCAYO -</w:t>
      </w:r>
      <w:r w:rsidR="001323C6">
        <w:rPr>
          <w:rFonts w:ascii="Arial" w:hAnsi="Arial" w:cs="Arial"/>
          <w:b/>
          <w:sz w:val="28"/>
          <w:szCs w:val="32"/>
        </w:rPr>
        <w:t xml:space="preserve"> Mayo</w:t>
      </w:r>
      <w:r w:rsidRPr="00696BFC">
        <w:rPr>
          <w:rFonts w:ascii="Arial" w:hAnsi="Arial" w:cs="Arial"/>
          <w:b/>
          <w:sz w:val="28"/>
          <w:szCs w:val="32"/>
        </w:rPr>
        <w:t xml:space="preserve"> 2017</w:t>
      </w:r>
    </w:p>
    <w:p w:rsidR="00657C24" w:rsidRDefault="00657C24" w:rsidP="00696BFC">
      <w:pPr>
        <w:jc w:val="center"/>
        <w:rPr>
          <w:rFonts w:ascii="Arial" w:hAnsi="Arial" w:cs="Arial"/>
          <w:b/>
          <w:sz w:val="28"/>
          <w:szCs w:val="32"/>
        </w:rPr>
      </w:pPr>
    </w:p>
    <w:p w:rsidR="00657C24" w:rsidRDefault="00657C24" w:rsidP="00696BFC">
      <w:pPr>
        <w:jc w:val="center"/>
        <w:rPr>
          <w:rFonts w:ascii="Arial" w:hAnsi="Arial" w:cs="Arial"/>
          <w:b/>
          <w:sz w:val="28"/>
          <w:szCs w:val="32"/>
        </w:rPr>
      </w:pPr>
    </w:p>
    <w:p w:rsidR="00657C24" w:rsidRDefault="00657C24" w:rsidP="00696BFC">
      <w:pPr>
        <w:jc w:val="center"/>
        <w:rPr>
          <w:rFonts w:ascii="Arial" w:hAnsi="Arial" w:cs="Arial"/>
          <w:b/>
          <w:sz w:val="28"/>
          <w:szCs w:val="32"/>
        </w:rPr>
      </w:pPr>
    </w:p>
    <w:p w:rsidR="00657C24" w:rsidRDefault="00657C24" w:rsidP="00696BFC">
      <w:pPr>
        <w:jc w:val="center"/>
        <w:rPr>
          <w:rFonts w:ascii="Arial" w:hAnsi="Arial" w:cs="Arial"/>
          <w:b/>
          <w:sz w:val="28"/>
          <w:szCs w:val="32"/>
        </w:rPr>
      </w:pPr>
    </w:p>
    <w:p w:rsidR="00657C24" w:rsidRDefault="00657C24" w:rsidP="00696BFC">
      <w:pPr>
        <w:jc w:val="center"/>
        <w:rPr>
          <w:rFonts w:ascii="Arial" w:hAnsi="Arial" w:cs="Arial"/>
          <w:b/>
          <w:sz w:val="28"/>
          <w:szCs w:val="32"/>
        </w:rPr>
      </w:pPr>
    </w:p>
    <w:p w:rsidR="00657C24" w:rsidRPr="00BB540F" w:rsidRDefault="00657C24" w:rsidP="008D3D2E">
      <w:pPr>
        <w:pStyle w:val="Prrafodelista"/>
        <w:numPr>
          <w:ilvl w:val="0"/>
          <w:numId w:val="1"/>
        </w:numPr>
        <w:tabs>
          <w:tab w:val="left" w:pos="284"/>
        </w:tabs>
        <w:spacing w:before="240"/>
        <w:ind w:left="0" w:firstLine="0"/>
        <w:contextualSpacing w:val="0"/>
        <w:jc w:val="both"/>
        <w:rPr>
          <w:rFonts w:ascii="Arial" w:hAnsi="Arial" w:cs="Arial"/>
          <w:b/>
          <w:sz w:val="28"/>
          <w:szCs w:val="32"/>
        </w:rPr>
      </w:pPr>
      <w:r w:rsidRPr="00B76340">
        <w:rPr>
          <w:rFonts w:ascii="Arial Black" w:hAnsi="Arial Black" w:cs="Arial"/>
          <w:b/>
          <w:szCs w:val="32"/>
        </w:rPr>
        <w:t>CASO</w:t>
      </w:r>
      <w:r w:rsidRPr="00BB540F">
        <w:rPr>
          <w:rFonts w:ascii="Arial" w:hAnsi="Arial" w:cs="Arial"/>
          <w:b/>
          <w:sz w:val="22"/>
          <w:szCs w:val="32"/>
        </w:rPr>
        <w:t>: Contaminación del río Mantaro</w:t>
      </w:r>
    </w:p>
    <w:p w:rsidR="00657C24" w:rsidRDefault="00657C24" w:rsidP="00657C24">
      <w:pPr>
        <w:jc w:val="both"/>
        <w:rPr>
          <w:rFonts w:ascii="Arial" w:hAnsi="Arial" w:cs="Arial"/>
          <w:b/>
          <w:sz w:val="28"/>
          <w:szCs w:val="32"/>
        </w:rPr>
      </w:pPr>
    </w:p>
    <w:p w:rsidR="0086698C" w:rsidRPr="004810BF" w:rsidRDefault="00317B29" w:rsidP="0086698C">
      <w:pPr>
        <w:jc w:val="both"/>
        <w:rPr>
          <w:rFonts w:ascii="Arial" w:hAnsi="Arial" w:cs="Arial"/>
          <w:sz w:val="22"/>
          <w:szCs w:val="28"/>
          <w:lang w:eastAsia="es-PE"/>
        </w:rPr>
      </w:pPr>
      <w:r w:rsidRPr="005536D1">
        <w:rPr>
          <w:rFonts w:ascii="Arial" w:hAnsi="Arial" w:cs="Arial"/>
          <w:sz w:val="22"/>
          <w:lang w:eastAsia="es-PE"/>
        </w:rPr>
        <w:t xml:space="preserve">El río Mantaro es uno de los ríos más importantes de los Andes Centrales Peruanos; su caudal depende de las precipitaciones en toda la cuenca, del nivel del Lago Junín y de las lagunas ubicadas al pie de los nevados de la cordillera occidental y del nevado </w:t>
      </w:r>
      <w:proofErr w:type="spellStart"/>
      <w:r w:rsidRPr="005536D1">
        <w:rPr>
          <w:rFonts w:ascii="Arial" w:hAnsi="Arial" w:cs="Arial"/>
          <w:sz w:val="22"/>
          <w:lang w:eastAsia="es-PE"/>
        </w:rPr>
        <w:t>Huaytapallana</w:t>
      </w:r>
      <w:proofErr w:type="spellEnd"/>
      <w:r w:rsidRPr="005536D1">
        <w:rPr>
          <w:rFonts w:ascii="Arial" w:hAnsi="Arial" w:cs="Arial"/>
          <w:sz w:val="22"/>
          <w:lang w:eastAsia="es-PE"/>
        </w:rPr>
        <w:t>.</w:t>
      </w:r>
      <w:r>
        <w:rPr>
          <w:rFonts w:ascii="Arial" w:hAnsi="Arial" w:cs="Arial"/>
          <w:sz w:val="22"/>
          <w:lang w:eastAsia="es-PE"/>
        </w:rPr>
        <w:t xml:space="preserve"> Nace en el </w:t>
      </w:r>
      <w:r w:rsidRPr="005536D1">
        <w:rPr>
          <w:rFonts w:ascii="Arial" w:hAnsi="Arial" w:cs="Arial"/>
          <w:sz w:val="22"/>
          <w:lang w:eastAsia="es-PE"/>
        </w:rPr>
        <w:t xml:space="preserve"> lago Junín</w:t>
      </w:r>
      <w:r w:rsidR="007D69FE">
        <w:rPr>
          <w:rFonts w:ascii="Arial" w:hAnsi="Arial" w:cs="Arial"/>
          <w:sz w:val="22"/>
          <w:lang w:eastAsia="es-PE"/>
        </w:rPr>
        <w:t xml:space="preserve"> a una altitud de 4 </w:t>
      </w:r>
      <w:r w:rsidRPr="005536D1">
        <w:rPr>
          <w:rFonts w:ascii="Arial" w:hAnsi="Arial" w:cs="Arial"/>
          <w:sz w:val="22"/>
          <w:lang w:eastAsia="es-PE"/>
        </w:rPr>
        <w:t xml:space="preserve">090 msnm </w:t>
      </w:r>
      <w:r>
        <w:rPr>
          <w:rFonts w:ascii="Arial" w:hAnsi="Arial" w:cs="Arial"/>
          <w:sz w:val="22"/>
          <w:lang w:eastAsia="es-PE"/>
        </w:rPr>
        <w:t>y recorre 735 km hasta su confluencia con el río Apurímac</w:t>
      </w:r>
      <w:r w:rsidR="007D69FE">
        <w:rPr>
          <w:rFonts w:ascii="Arial" w:hAnsi="Arial" w:cs="Arial"/>
          <w:sz w:val="22"/>
          <w:lang w:eastAsia="es-PE"/>
        </w:rPr>
        <w:t xml:space="preserve"> a 480 </w:t>
      </w:r>
      <w:proofErr w:type="spellStart"/>
      <w:r w:rsidR="007D69FE">
        <w:rPr>
          <w:rFonts w:ascii="Arial" w:hAnsi="Arial" w:cs="Arial"/>
          <w:sz w:val="22"/>
          <w:lang w:eastAsia="es-PE"/>
        </w:rPr>
        <w:t>msmnm</w:t>
      </w:r>
      <w:proofErr w:type="spellEnd"/>
      <w:r>
        <w:rPr>
          <w:rFonts w:ascii="Arial" w:hAnsi="Arial" w:cs="Arial"/>
          <w:sz w:val="22"/>
          <w:lang w:eastAsia="es-PE"/>
        </w:rPr>
        <w:t>, dando origen al río Ene.</w:t>
      </w:r>
      <w:r w:rsidR="0086698C">
        <w:rPr>
          <w:rFonts w:ascii="Arial" w:hAnsi="Arial" w:cs="Arial"/>
          <w:sz w:val="22"/>
          <w:lang w:eastAsia="es-PE"/>
        </w:rPr>
        <w:t xml:space="preserve"> E</w:t>
      </w:r>
      <w:r w:rsidR="0086698C" w:rsidRPr="004810BF">
        <w:rPr>
          <w:rFonts w:ascii="Arial" w:hAnsi="Arial" w:cs="Arial"/>
          <w:sz w:val="22"/>
          <w:szCs w:val="28"/>
          <w:lang w:eastAsia="es-PE"/>
        </w:rPr>
        <w:t xml:space="preserve">n la parte alta de la cuenca </w:t>
      </w:r>
      <w:r w:rsidR="0086698C">
        <w:rPr>
          <w:rFonts w:ascii="Arial" w:hAnsi="Arial" w:cs="Arial"/>
          <w:sz w:val="22"/>
          <w:szCs w:val="28"/>
          <w:lang w:eastAsia="es-PE"/>
        </w:rPr>
        <w:t>del río Mantaro</w:t>
      </w:r>
      <w:r w:rsidR="0086698C">
        <w:rPr>
          <w:rFonts w:ascii="Arial" w:hAnsi="Arial" w:cs="Arial"/>
          <w:sz w:val="22"/>
          <w:lang w:eastAsia="es-PE"/>
        </w:rPr>
        <w:t xml:space="preserve"> identificaron 32</w:t>
      </w:r>
      <w:r w:rsidR="0086698C" w:rsidRPr="004810BF">
        <w:rPr>
          <w:rFonts w:ascii="Arial" w:hAnsi="Arial" w:cs="Arial"/>
          <w:sz w:val="22"/>
          <w:szCs w:val="28"/>
          <w:lang w:eastAsia="es-PE"/>
        </w:rPr>
        <w:t xml:space="preserve"> vertimientos </w:t>
      </w:r>
      <w:r w:rsidR="0086698C">
        <w:rPr>
          <w:rFonts w:ascii="Arial" w:hAnsi="Arial" w:cs="Arial"/>
          <w:sz w:val="22"/>
          <w:szCs w:val="28"/>
          <w:lang w:eastAsia="es-PE"/>
        </w:rPr>
        <w:t>i</w:t>
      </w:r>
      <w:r w:rsidR="0086698C" w:rsidRPr="004810BF">
        <w:rPr>
          <w:rFonts w:ascii="Arial" w:hAnsi="Arial" w:cs="Arial"/>
          <w:sz w:val="22"/>
          <w:szCs w:val="28"/>
          <w:lang w:eastAsia="es-PE"/>
        </w:rPr>
        <w:t xml:space="preserve">ndustriales </w:t>
      </w:r>
      <w:r w:rsidR="0086698C">
        <w:rPr>
          <w:rFonts w:ascii="Arial" w:hAnsi="Arial" w:cs="Arial"/>
          <w:sz w:val="22"/>
          <w:szCs w:val="28"/>
          <w:lang w:eastAsia="es-PE"/>
        </w:rPr>
        <w:t>m</w:t>
      </w:r>
      <w:r w:rsidR="0086698C" w:rsidRPr="004810BF">
        <w:rPr>
          <w:rFonts w:ascii="Arial" w:hAnsi="Arial" w:cs="Arial"/>
          <w:sz w:val="22"/>
          <w:szCs w:val="28"/>
          <w:lang w:eastAsia="es-PE"/>
        </w:rPr>
        <w:t xml:space="preserve">ineros correspondientes a </w:t>
      </w:r>
      <w:r w:rsidR="0086698C">
        <w:rPr>
          <w:rFonts w:ascii="Arial" w:hAnsi="Arial" w:cs="Arial"/>
          <w:sz w:val="22"/>
          <w:szCs w:val="28"/>
          <w:lang w:eastAsia="es-PE"/>
        </w:rPr>
        <w:t xml:space="preserve">nueve </w:t>
      </w:r>
      <w:r w:rsidR="0086698C" w:rsidRPr="004810BF">
        <w:rPr>
          <w:rFonts w:ascii="Arial" w:hAnsi="Arial" w:cs="Arial"/>
          <w:sz w:val="22"/>
          <w:szCs w:val="28"/>
          <w:lang w:eastAsia="es-PE"/>
        </w:rPr>
        <w:t>empresas mineras con un volumen total de 98́952,171.60 m</w:t>
      </w:r>
      <w:r w:rsidR="0086698C" w:rsidRPr="004810BF">
        <w:rPr>
          <w:rFonts w:ascii="Arial" w:hAnsi="Arial" w:cs="Arial"/>
          <w:sz w:val="20"/>
          <w:szCs w:val="28"/>
          <w:vertAlign w:val="superscript"/>
          <w:lang w:eastAsia="es-PE"/>
        </w:rPr>
        <w:t>3</w:t>
      </w:r>
      <w:r w:rsidR="0086698C" w:rsidRPr="004810BF">
        <w:rPr>
          <w:rFonts w:ascii="Arial" w:hAnsi="Arial" w:cs="Arial"/>
          <w:sz w:val="22"/>
          <w:szCs w:val="28"/>
          <w:lang w:eastAsia="es-PE"/>
        </w:rPr>
        <w:t>/año</w:t>
      </w:r>
      <w:r w:rsidR="0086698C">
        <w:rPr>
          <w:rFonts w:ascii="Arial" w:hAnsi="Arial" w:cs="Arial"/>
          <w:sz w:val="22"/>
          <w:szCs w:val="28"/>
          <w:lang w:eastAsia="es-PE"/>
        </w:rPr>
        <w:t xml:space="preserve"> (</w:t>
      </w:r>
      <w:proofErr w:type="spellStart"/>
      <w:r w:rsidR="00FD6350">
        <w:rPr>
          <w:rFonts w:ascii="Arial" w:hAnsi="Arial" w:cs="Arial"/>
          <w:sz w:val="22"/>
          <w:szCs w:val="28"/>
          <w:lang w:eastAsia="es-PE"/>
        </w:rPr>
        <w:t>Goetendía</w:t>
      </w:r>
      <w:proofErr w:type="spellEnd"/>
      <w:r w:rsidR="00FD6350">
        <w:rPr>
          <w:rFonts w:ascii="Arial" w:hAnsi="Arial" w:cs="Arial"/>
          <w:sz w:val="22"/>
          <w:szCs w:val="28"/>
          <w:lang w:eastAsia="es-PE"/>
        </w:rPr>
        <w:t xml:space="preserve"> y Ruiz</w:t>
      </w:r>
      <w:r w:rsidR="0086698C">
        <w:rPr>
          <w:rFonts w:ascii="Arial" w:hAnsi="Arial" w:cs="Arial"/>
          <w:sz w:val="22"/>
          <w:szCs w:val="28"/>
          <w:lang w:eastAsia="es-PE"/>
        </w:rPr>
        <w:t>, 2009)</w:t>
      </w:r>
      <w:r w:rsidR="0086698C" w:rsidRPr="004810BF">
        <w:rPr>
          <w:rFonts w:ascii="Arial" w:hAnsi="Arial" w:cs="Arial"/>
          <w:sz w:val="22"/>
          <w:szCs w:val="28"/>
          <w:lang w:eastAsia="es-PE"/>
        </w:rPr>
        <w:t>.</w:t>
      </w:r>
    </w:p>
    <w:p w:rsidR="008913D8" w:rsidRDefault="008913D8" w:rsidP="008913D8">
      <w:pPr>
        <w:autoSpaceDE w:val="0"/>
        <w:autoSpaceDN w:val="0"/>
        <w:adjustRightInd w:val="0"/>
        <w:spacing w:before="120" w:line="264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913D8">
        <w:rPr>
          <w:rFonts w:ascii="Arial" w:hAnsi="Arial" w:cs="Arial"/>
          <w:sz w:val="22"/>
          <w:szCs w:val="22"/>
        </w:rPr>
        <w:t>El recurso hídrico en el valle del Mantaro de la región Junín, es cada vez más escaso</w:t>
      </w:r>
      <w:r w:rsidR="007D69FE">
        <w:rPr>
          <w:rFonts w:ascii="Arial" w:hAnsi="Arial" w:cs="Arial"/>
          <w:sz w:val="22"/>
          <w:szCs w:val="22"/>
        </w:rPr>
        <w:t>,</w:t>
      </w:r>
      <w:r w:rsidRPr="008913D8">
        <w:rPr>
          <w:rFonts w:ascii="Arial" w:hAnsi="Arial" w:cs="Arial"/>
          <w:sz w:val="22"/>
          <w:szCs w:val="22"/>
        </w:rPr>
        <w:t xml:space="preserve"> y son 25 distritos importantes en la región, donde la irrigación de los suelos agrícolas depende de las aguas del río Mantaro, y éstas presentan concentraciones importantes de contaminantes inorgánicos (metales pesados) producto de los vertimientos de efluentes mineros a las aguas superficiales debido a la actividad minero - metalúrgica en la región. El uso continuo e insostenible de este recurso, viene conduciendo a la acumulación progresiva de estos elementos en el suelo, que van deteriorando la calidad de los mismos de forma temporal o definitiva, modificando sus propiedades físicas, químicas y biológicas (Porta et al., 2003), y consecuentemente afectando la calidad de los productos agrícolas de interés económico y de consumo en la región. </w:t>
      </w:r>
      <w:r w:rsidRPr="008913D8">
        <w:rPr>
          <w:rFonts w:ascii="Arial" w:eastAsiaTheme="minorHAnsi" w:hAnsi="Arial" w:cs="Arial"/>
          <w:sz w:val="22"/>
          <w:szCs w:val="22"/>
          <w:lang w:eastAsia="en-US"/>
        </w:rPr>
        <w:t>La economía de los agricultores gira en torno a la producción agrícola y ganadera</w:t>
      </w:r>
      <w:r w:rsidR="007D69FE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8913D8" w:rsidRDefault="008913D8" w:rsidP="00F5676C">
      <w:pPr>
        <w:spacing w:before="120" w:line="264" w:lineRule="auto"/>
        <w:ind w:right="-1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913D8">
        <w:rPr>
          <w:rFonts w:ascii="Arial" w:hAnsi="Arial" w:cs="Arial"/>
          <w:color w:val="211D1E"/>
          <w:sz w:val="22"/>
          <w:szCs w:val="22"/>
        </w:rPr>
        <w:t xml:space="preserve">En el </w:t>
      </w:r>
      <w:r w:rsidR="007D69FE">
        <w:rPr>
          <w:rFonts w:ascii="Arial" w:hAnsi="Arial" w:cs="Arial"/>
          <w:color w:val="211D1E"/>
          <w:sz w:val="22"/>
          <w:szCs w:val="22"/>
        </w:rPr>
        <w:t>valle del Mantaro</w:t>
      </w:r>
      <w:r w:rsidRPr="008913D8">
        <w:rPr>
          <w:rFonts w:ascii="Arial" w:hAnsi="Arial" w:cs="Arial"/>
          <w:color w:val="211D1E"/>
          <w:sz w:val="22"/>
          <w:szCs w:val="22"/>
        </w:rPr>
        <w:t xml:space="preserve">, desde hace más </w:t>
      </w:r>
      <w:r w:rsidRPr="008913D8">
        <w:rPr>
          <w:rFonts w:ascii="Arial" w:hAnsi="Arial" w:cs="Arial"/>
          <w:sz w:val="22"/>
          <w:szCs w:val="22"/>
        </w:rPr>
        <w:t xml:space="preserve">de 70 años </w:t>
      </w:r>
      <w:r w:rsidRPr="008913D8">
        <w:rPr>
          <w:rFonts w:ascii="Arial" w:hAnsi="Arial" w:cs="Arial"/>
          <w:color w:val="211D1E"/>
          <w:sz w:val="22"/>
          <w:szCs w:val="22"/>
        </w:rPr>
        <w:t>los agricultores vienen  irrigando sus sembríos agrícolas (</w:t>
      </w:r>
      <w:r w:rsidRPr="008913D8">
        <w:rPr>
          <w:rFonts w:ascii="Arial" w:hAnsi="Arial" w:cs="Arial"/>
          <w:color w:val="000000"/>
          <w:sz w:val="22"/>
          <w:szCs w:val="22"/>
        </w:rPr>
        <w:t xml:space="preserve">maíz, papa, habas, zanahoria, alcachofa, pastos) </w:t>
      </w:r>
      <w:r w:rsidRPr="008913D8">
        <w:rPr>
          <w:rFonts w:ascii="Arial" w:hAnsi="Arial" w:cs="Arial"/>
          <w:color w:val="211D1E"/>
          <w:sz w:val="22"/>
          <w:szCs w:val="22"/>
        </w:rPr>
        <w:t>con agua del río Mantaro, con contenidos altos en  metales pesados (</w:t>
      </w:r>
      <w:r w:rsidRPr="008913D8">
        <w:rPr>
          <w:rFonts w:ascii="Arial" w:hAnsi="Arial" w:cs="Arial"/>
          <w:sz w:val="22"/>
          <w:szCs w:val="22"/>
        </w:rPr>
        <w:t>Cr, Cu, Fe, Hg, Pb, Cd, Ni, Zn)  y metaloides (As)</w:t>
      </w:r>
      <w:r w:rsidRPr="008913D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8913D8">
        <w:rPr>
          <w:rFonts w:ascii="Arial" w:hAnsi="Arial" w:cs="Arial"/>
          <w:color w:val="211D1E"/>
          <w:sz w:val="22"/>
          <w:szCs w:val="22"/>
        </w:rPr>
        <w:t>provenientes de las diferentes operaciones de los centros mineros y la planta metalúrgica de la Oroya (Proyecto Mantaro Revive, 2008)</w:t>
      </w:r>
      <w:r w:rsidR="009E347A">
        <w:rPr>
          <w:rFonts w:ascii="Arial" w:hAnsi="Arial" w:cs="Arial"/>
          <w:color w:val="211D1E"/>
          <w:sz w:val="22"/>
          <w:szCs w:val="22"/>
        </w:rPr>
        <w:t xml:space="preserve"> en la cuenca alta del río Mantaro</w:t>
      </w:r>
      <w:r w:rsidRPr="008913D8">
        <w:rPr>
          <w:rFonts w:ascii="Arial" w:hAnsi="Arial" w:cs="Arial"/>
          <w:color w:val="211D1E"/>
          <w:sz w:val="22"/>
          <w:szCs w:val="22"/>
        </w:rPr>
        <w:t>, como  consecuencia de ello, los  suelos presentan altas concentraciones de estos metales provocando el deterioro de la calidad del suelo y de los acuíferos</w:t>
      </w:r>
      <w:r w:rsidR="00D8614C">
        <w:rPr>
          <w:rFonts w:ascii="Arial" w:hAnsi="Arial" w:cs="Arial"/>
          <w:color w:val="211D1E"/>
          <w:sz w:val="22"/>
          <w:szCs w:val="22"/>
        </w:rPr>
        <w:t xml:space="preserve"> superficiales y subterráneos</w:t>
      </w:r>
      <w:r w:rsidRPr="008913D8">
        <w:rPr>
          <w:rFonts w:ascii="Arial" w:hAnsi="Arial" w:cs="Arial"/>
          <w:color w:val="211D1E"/>
          <w:sz w:val="22"/>
          <w:szCs w:val="22"/>
        </w:rPr>
        <w:t xml:space="preserve"> (Prieto,200</w:t>
      </w:r>
      <w:r w:rsidR="009E347A">
        <w:rPr>
          <w:rFonts w:ascii="Arial" w:hAnsi="Arial" w:cs="Arial"/>
          <w:color w:val="211D1E"/>
          <w:sz w:val="22"/>
          <w:szCs w:val="22"/>
        </w:rPr>
        <w:t>9). Existen más de 3</w:t>
      </w:r>
      <w:r w:rsidRPr="008913D8">
        <w:rPr>
          <w:rFonts w:ascii="Arial" w:hAnsi="Arial" w:cs="Arial"/>
          <w:color w:val="211D1E"/>
          <w:sz w:val="22"/>
          <w:szCs w:val="22"/>
        </w:rPr>
        <w:t xml:space="preserve">7 060 usuarios de riego que irrigan </w:t>
      </w:r>
      <w:r w:rsidR="008D3D2E">
        <w:rPr>
          <w:rFonts w:ascii="Arial" w:hAnsi="Arial" w:cs="Arial"/>
          <w:color w:val="211D1E"/>
          <w:sz w:val="22"/>
          <w:szCs w:val="22"/>
        </w:rPr>
        <w:t>5</w:t>
      </w:r>
      <w:r w:rsidRPr="008913D8">
        <w:rPr>
          <w:rFonts w:ascii="Arial" w:hAnsi="Arial" w:cs="Arial"/>
          <w:color w:val="211D1E"/>
          <w:sz w:val="22"/>
          <w:szCs w:val="22"/>
        </w:rPr>
        <w:t>7 754 ha de suelo agrícolas con agua contaminada y que re</w:t>
      </w:r>
      <w:r w:rsidRPr="008913D8">
        <w:rPr>
          <w:rFonts w:ascii="Arial" w:hAnsi="Arial" w:cs="Arial"/>
          <w:sz w:val="22"/>
          <w:szCs w:val="22"/>
        </w:rPr>
        <w:t xml:space="preserve">presentan el 36% de la superficie total irrigada (Ministerio de Agricultura, 2011). </w:t>
      </w:r>
      <w:r w:rsidRPr="008913D8">
        <w:rPr>
          <w:rFonts w:ascii="Arial" w:hAnsi="Arial" w:cs="Arial"/>
          <w:color w:val="262626" w:themeColor="text1" w:themeTint="D9"/>
          <w:sz w:val="22"/>
          <w:szCs w:val="22"/>
        </w:rPr>
        <w:t xml:space="preserve">La Universidad Saint Louis de Missouri y el Arzobispado de Huancayo en el 2005, en </w:t>
      </w:r>
      <w:r w:rsidRPr="008913D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las provincias de Oroya y Concepción determinaron  que cerca del 25% de la población infantil de Concepción de cero a seis años superaban los 10 </w:t>
      </w:r>
      <w:proofErr w:type="spellStart"/>
      <w:r w:rsidRPr="008913D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ug</w:t>
      </w:r>
      <w:proofErr w:type="spellEnd"/>
      <w:r w:rsidRPr="008913D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/dl de plomo en la sangre, por encima del límite </w:t>
      </w:r>
      <w:r w:rsidR="00317B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permisible</w:t>
      </w:r>
      <w:r w:rsidRPr="008913D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encontrando niveles elevados de plomo y otros metales en la población considerada como control; resultados que les permitieron inferir que la contaminación ambiental se extiende a lo largo de la cuenca del Mantaro. </w:t>
      </w:r>
    </w:p>
    <w:p w:rsidR="008D3D2E" w:rsidRDefault="008D3D2E" w:rsidP="00F5676C">
      <w:pPr>
        <w:pStyle w:val="Pa10"/>
        <w:spacing w:before="120" w:line="264" w:lineRule="auto"/>
        <w:ind w:right="-1"/>
        <w:jc w:val="both"/>
        <w:rPr>
          <w:rFonts w:ascii="Arial" w:hAnsi="Arial" w:cs="Arial"/>
          <w:color w:val="211D1E"/>
          <w:sz w:val="22"/>
          <w:szCs w:val="22"/>
        </w:rPr>
      </w:pPr>
      <w:r w:rsidRPr="008913D8">
        <w:rPr>
          <w:rFonts w:ascii="Arial" w:hAnsi="Arial" w:cs="Arial"/>
          <w:color w:val="221E1F"/>
          <w:sz w:val="22"/>
          <w:szCs w:val="22"/>
        </w:rPr>
        <w:t>Los altos niveles de concentración de metales pesados en agua utilizada para riego re</w:t>
      </w:r>
      <w:r w:rsidRPr="008913D8">
        <w:rPr>
          <w:rFonts w:ascii="Arial" w:hAnsi="Arial" w:cs="Arial"/>
          <w:color w:val="221E1F"/>
          <w:sz w:val="22"/>
          <w:szCs w:val="22"/>
        </w:rPr>
        <w:softHyphen/>
        <w:t>presentan un problema importante para la agricultura</w:t>
      </w:r>
      <w:r>
        <w:rPr>
          <w:rFonts w:ascii="Arial" w:hAnsi="Arial" w:cs="Arial"/>
          <w:color w:val="221E1F"/>
          <w:sz w:val="22"/>
          <w:szCs w:val="22"/>
        </w:rPr>
        <w:t xml:space="preserve">, la ganadería </w:t>
      </w:r>
      <w:r w:rsidRPr="008913D8">
        <w:rPr>
          <w:rFonts w:ascii="Arial" w:hAnsi="Arial" w:cs="Arial"/>
          <w:color w:val="221E1F"/>
          <w:sz w:val="22"/>
          <w:szCs w:val="22"/>
        </w:rPr>
        <w:t xml:space="preserve">y la salud humana, así como para la </w:t>
      </w:r>
      <w:r>
        <w:rPr>
          <w:rFonts w:ascii="Arial" w:hAnsi="Arial" w:cs="Arial"/>
          <w:color w:val="221E1F"/>
          <w:sz w:val="22"/>
          <w:szCs w:val="22"/>
        </w:rPr>
        <w:t xml:space="preserve">pérdida de la </w:t>
      </w:r>
      <w:r w:rsidRPr="008913D8">
        <w:rPr>
          <w:rFonts w:ascii="Arial" w:hAnsi="Arial" w:cs="Arial"/>
          <w:color w:val="221E1F"/>
          <w:sz w:val="22"/>
          <w:szCs w:val="22"/>
        </w:rPr>
        <w:t>biodiversidad</w:t>
      </w:r>
      <w:r>
        <w:rPr>
          <w:rFonts w:ascii="Arial" w:hAnsi="Arial" w:cs="Arial"/>
          <w:color w:val="221E1F"/>
          <w:sz w:val="22"/>
          <w:szCs w:val="22"/>
        </w:rPr>
        <w:t xml:space="preserve"> (flora y fauna)</w:t>
      </w:r>
      <w:r w:rsidRPr="008913D8">
        <w:rPr>
          <w:rFonts w:ascii="Arial" w:hAnsi="Arial" w:cs="Arial"/>
          <w:color w:val="221E1F"/>
          <w:sz w:val="22"/>
          <w:szCs w:val="22"/>
        </w:rPr>
        <w:t xml:space="preserve"> con el consecuente deterioro de la calidad de vida de la población. </w:t>
      </w:r>
      <w:r w:rsidRPr="008913D8">
        <w:rPr>
          <w:rFonts w:ascii="Arial" w:hAnsi="Arial" w:cs="Arial"/>
          <w:color w:val="211D1E"/>
          <w:sz w:val="22"/>
          <w:szCs w:val="22"/>
        </w:rPr>
        <w:t>La problemática de los metales pesados y de los metaloides presentes en el agua utilizada para riego, radica principalmente en que pueden ser acumulados en los suelos agrícolas; y resulta</w:t>
      </w:r>
      <w:r>
        <w:rPr>
          <w:rFonts w:ascii="Arial" w:hAnsi="Arial" w:cs="Arial"/>
          <w:color w:val="211D1E"/>
          <w:sz w:val="22"/>
          <w:szCs w:val="22"/>
        </w:rPr>
        <w:t>r</w:t>
      </w:r>
      <w:r w:rsidRPr="008913D8">
        <w:rPr>
          <w:rFonts w:ascii="Arial" w:hAnsi="Arial" w:cs="Arial"/>
          <w:color w:val="211D1E"/>
          <w:sz w:val="22"/>
          <w:szCs w:val="22"/>
        </w:rPr>
        <w:t xml:space="preserve"> peligrosos por su carácter no biodegradable, la toxicidad que ejercen sobre los diferentes cultivos</w:t>
      </w:r>
      <w:r>
        <w:rPr>
          <w:rFonts w:ascii="Arial" w:hAnsi="Arial" w:cs="Arial"/>
          <w:color w:val="211D1E"/>
          <w:sz w:val="22"/>
          <w:szCs w:val="22"/>
        </w:rPr>
        <w:t xml:space="preserve">, su </w:t>
      </w:r>
      <w:r w:rsidRPr="008913D8">
        <w:rPr>
          <w:rFonts w:ascii="Arial" w:hAnsi="Arial" w:cs="Arial"/>
          <w:color w:val="211D1E"/>
          <w:sz w:val="22"/>
          <w:szCs w:val="22"/>
        </w:rPr>
        <w:t>biodisponibilidad</w:t>
      </w:r>
      <w:r>
        <w:rPr>
          <w:rFonts w:ascii="Arial" w:hAnsi="Arial" w:cs="Arial"/>
          <w:color w:val="211D1E"/>
          <w:sz w:val="22"/>
          <w:szCs w:val="22"/>
        </w:rPr>
        <w:t xml:space="preserve"> y transferencia a la cadena trófica</w:t>
      </w:r>
      <w:r w:rsidRPr="008913D8">
        <w:rPr>
          <w:rFonts w:ascii="Arial" w:hAnsi="Arial" w:cs="Arial"/>
          <w:color w:val="211D1E"/>
          <w:sz w:val="22"/>
          <w:szCs w:val="22"/>
        </w:rPr>
        <w:t xml:space="preserve"> (García y </w:t>
      </w:r>
      <w:proofErr w:type="spellStart"/>
      <w:r w:rsidRPr="008913D8">
        <w:rPr>
          <w:rFonts w:ascii="Arial" w:hAnsi="Arial" w:cs="Arial"/>
          <w:color w:val="211D1E"/>
          <w:sz w:val="22"/>
          <w:szCs w:val="22"/>
        </w:rPr>
        <w:t>Dorronsoro</w:t>
      </w:r>
      <w:proofErr w:type="spellEnd"/>
      <w:r w:rsidRPr="008913D8">
        <w:rPr>
          <w:rFonts w:ascii="Arial" w:hAnsi="Arial" w:cs="Arial"/>
          <w:color w:val="211D1E"/>
          <w:sz w:val="22"/>
          <w:szCs w:val="22"/>
        </w:rPr>
        <w:t>, 2005).</w:t>
      </w:r>
    </w:p>
    <w:p w:rsidR="008913D8" w:rsidRPr="008913D8" w:rsidRDefault="008913D8" w:rsidP="00F5676C">
      <w:pPr>
        <w:spacing w:before="120" w:line="264" w:lineRule="auto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  <w:r w:rsidRPr="008913D8">
        <w:rPr>
          <w:rFonts w:ascii="Arial" w:hAnsi="Arial" w:cs="Arial"/>
          <w:sz w:val="22"/>
          <w:szCs w:val="22"/>
          <w:lang w:eastAsia="en-US"/>
        </w:rPr>
        <w:t xml:space="preserve">El plomo es un metal pesado de alta densidad </w:t>
      </w:r>
      <w:r w:rsidRPr="008913D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(11.35 g/cm</w:t>
      </w:r>
      <w:r w:rsidRPr="008913D8">
        <w:rPr>
          <w:rFonts w:ascii="Arial" w:eastAsiaTheme="minorHAnsi" w:hAnsi="Arial" w:cs="Arial"/>
          <w:color w:val="000000"/>
          <w:sz w:val="22"/>
          <w:szCs w:val="22"/>
          <w:vertAlign w:val="superscript"/>
          <w:lang w:eastAsia="en-US"/>
        </w:rPr>
        <w:t>3</w:t>
      </w:r>
      <w:r w:rsidRPr="008913D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), considerado como</w:t>
      </w:r>
      <w:r w:rsidRPr="008913D8">
        <w:rPr>
          <w:rFonts w:ascii="Arial" w:hAnsi="Arial" w:cs="Arial"/>
          <w:sz w:val="22"/>
          <w:szCs w:val="22"/>
          <w:lang w:eastAsia="en-US"/>
        </w:rPr>
        <w:t xml:space="preserve"> una sustancia tóxica de alta peligrosidad (</w:t>
      </w:r>
      <w:r w:rsidRPr="008913D8">
        <w:rPr>
          <w:rFonts w:ascii="Arial" w:eastAsia="Calibri" w:hAnsi="Arial" w:cs="Arial"/>
          <w:sz w:val="22"/>
          <w:szCs w:val="22"/>
          <w:lang w:eastAsia="en-US"/>
        </w:rPr>
        <w:t>ATSDR, 2007</w:t>
      </w:r>
      <w:r w:rsidRPr="008913D8">
        <w:rPr>
          <w:rFonts w:ascii="Arial" w:hAnsi="Arial" w:cs="Arial"/>
          <w:sz w:val="22"/>
          <w:szCs w:val="22"/>
          <w:lang w:eastAsia="en-US"/>
        </w:rPr>
        <w:t xml:space="preserve">). </w:t>
      </w:r>
      <w:r w:rsidRPr="008913D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Tiene una permanencia en el suelo de 1000 a 3000 años (Duran, 2010). La </w:t>
      </w:r>
      <w:r w:rsidRPr="008913D8">
        <w:rPr>
          <w:rFonts w:ascii="Arial" w:eastAsia="Calibri" w:hAnsi="Arial" w:cs="Arial"/>
          <w:sz w:val="22"/>
          <w:szCs w:val="22"/>
          <w:lang w:eastAsia="en-US"/>
        </w:rPr>
        <w:t xml:space="preserve">transferencia a la cadena alimentaria y a los acuíferos constituye un </w:t>
      </w:r>
      <w:r w:rsidR="007D69FE">
        <w:rPr>
          <w:rFonts w:ascii="Arial" w:eastAsia="Calibri" w:hAnsi="Arial" w:cs="Arial"/>
          <w:sz w:val="22"/>
          <w:szCs w:val="22"/>
          <w:lang w:eastAsia="en-US"/>
        </w:rPr>
        <w:t xml:space="preserve">riesgo </w:t>
      </w:r>
      <w:r w:rsidRPr="008913D8">
        <w:rPr>
          <w:rFonts w:ascii="Arial" w:eastAsia="Calibri" w:hAnsi="Arial" w:cs="Arial"/>
          <w:sz w:val="22"/>
          <w:szCs w:val="22"/>
          <w:lang w:eastAsia="en-US"/>
        </w:rPr>
        <w:t>para la salud humana y la de los ecosistemas (Calderón y Maldonado, 2008).</w:t>
      </w:r>
      <w:r w:rsidRPr="008913D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La adsorción de estas sustancias tóxicas por las partículas del suelo (</w:t>
      </w:r>
      <w:proofErr w:type="spellStart"/>
      <w:r w:rsidRPr="008913D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Duffus</w:t>
      </w:r>
      <w:proofErr w:type="spellEnd"/>
      <w:r w:rsidRPr="008913D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1983) afecta la calidad del suelo, debido a su alta persistencia y difícil degradación (</w:t>
      </w:r>
      <w:r w:rsidRPr="008913D8">
        <w:rPr>
          <w:rFonts w:ascii="Arial" w:eastAsiaTheme="minorHAnsi" w:hAnsi="Arial" w:cs="Arial"/>
          <w:sz w:val="22"/>
          <w:szCs w:val="22"/>
          <w:lang w:eastAsia="en-US"/>
        </w:rPr>
        <w:t>Becerril</w:t>
      </w:r>
      <w:r w:rsidRPr="008913D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et al., 2007; Duran, 2010). </w:t>
      </w:r>
    </w:p>
    <w:p w:rsidR="008913D8" w:rsidRPr="008913D8" w:rsidRDefault="008913D8" w:rsidP="008913D8">
      <w:pPr>
        <w:rPr>
          <w:rFonts w:ascii="Arial" w:hAnsi="Arial" w:cs="Arial"/>
          <w:sz w:val="22"/>
          <w:szCs w:val="22"/>
          <w:lang w:eastAsia="en-US"/>
        </w:rPr>
      </w:pPr>
    </w:p>
    <w:p w:rsidR="008913D8" w:rsidRPr="008913D8" w:rsidRDefault="008913D8" w:rsidP="00F5676C">
      <w:pPr>
        <w:tabs>
          <w:tab w:val="left" w:pos="284"/>
          <w:tab w:val="left" w:pos="1560"/>
        </w:tabs>
        <w:spacing w:line="264" w:lineRule="auto"/>
        <w:ind w:right="-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13D8">
        <w:rPr>
          <w:rFonts w:ascii="Arial" w:eastAsia="Calibri" w:hAnsi="Arial" w:cs="Arial"/>
          <w:sz w:val="22"/>
          <w:szCs w:val="22"/>
          <w:lang w:eastAsia="en-US"/>
        </w:rPr>
        <w:t xml:space="preserve">Según la Agencia para Sustancias Tóxicas y Registro de Enfermedades (ATSDR), la Organización Mundial de la Salud (OMS), la Agencia de Protección Ambiental (EPA) y la Agencia Internacional para la Investigación del Cáncer (IARC), el plomo es considerado una sustancia tóxica altamente peligrosa, y han determinado que probablemente sea carcinogénico en seres humanos. </w:t>
      </w:r>
    </w:p>
    <w:p w:rsidR="008913D8" w:rsidRDefault="008913D8" w:rsidP="00F5676C">
      <w:pPr>
        <w:tabs>
          <w:tab w:val="left" w:pos="284"/>
          <w:tab w:val="left" w:pos="1560"/>
        </w:tabs>
        <w:spacing w:before="120" w:line="264" w:lineRule="auto"/>
        <w:ind w:right="-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913D8">
        <w:rPr>
          <w:rFonts w:ascii="Arial" w:eastAsia="Calibri" w:hAnsi="Arial" w:cs="Arial"/>
          <w:sz w:val="22"/>
          <w:szCs w:val="22"/>
          <w:lang w:eastAsia="en-US"/>
        </w:rPr>
        <w:t xml:space="preserve">La exposición al plomo provoca daños neurológicos, renales, endocrinos, gastrointestinales, cardiovasculares, reproductivos y en el desarrollo, y en algunos casos los daños son irreversibles (ATSDR, 2007). La fracción de plomo que no se excreta se distribuye en la sangre, los tejidos blandos y los tejidos </w:t>
      </w:r>
      <w:proofErr w:type="spellStart"/>
      <w:r w:rsidRPr="008913D8">
        <w:rPr>
          <w:rFonts w:ascii="Arial" w:eastAsia="Calibri" w:hAnsi="Arial" w:cs="Arial"/>
          <w:sz w:val="22"/>
          <w:szCs w:val="22"/>
          <w:lang w:eastAsia="en-US"/>
        </w:rPr>
        <w:t>mineralizantes</w:t>
      </w:r>
      <w:proofErr w:type="spellEnd"/>
      <w:r w:rsidRPr="008913D8">
        <w:rPr>
          <w:rFonts w:ascii="Arial" w:eastAsia="Calibri" w:hAnsi="Arial" w:cs="Arial"/>
          <w:sz w:val="22"/>
          <w:szCs w:val="22"/>
          <w:lang w:eastAsia="en-US"/>
        </w:rPr>
        <w:t xml:space="preserve"> (huesos y dientes), en los adultos el 95% de la carga corporal  se almacena en los huesos (</w:t>
      </w:r>
      <w:proofErr w:type="spellStart"/>
      <w:r w:rsidRPr="008913D8">
        <w:rPr>
          <w:rFonts w:ascii="Arial" w:eastAsia="Calibri" w:hAnsi="Arial" w:cs="Arial"/>
          <w:sz w:val="22"/>
          <w:szCs w:val="22"/>
          <w:lang w:eastAsia="en-US"/>
        </w:rPr>
        <w:t>Saldivar</w:t>
      </w:r>
      <w:proofErr w:type="spellEnd"/>
      <w:r w:rsidRPr="008913D8">
        <w:rPr>
          <w:rFonts w:ascii="Arial" w:eastAsia="Calibri" w:hAnsi="Arial" w:cs="Arial"/>
          <w:sz w:val="22"/>
          <w:szCs w:val="22"/>
          <w:lang w:eastAsia="en-US"/>
        </w:rPr>
        <w:t xml:space="preserve"> et al., 1997; </w:t>
      </w:r>
      <w:r w:rsidR="00FD6350">
        <w:rPr>
          <w:rFonts w:ascii="Arial" w:eastAsia="Calibri" w:hAnsi="Arial" w:cs="Arial"/>
          <w:sz w:val="22"/>
          <w:szCs w:val="22"/>
          <w:lang w:eastAsia="en-US"/>
        </w:rPr>
        <w:t>WHO</w:t>
      </w:r>
      <w:r w:rsidRPr="008913D8">
        <w:rPr>
          <w:rFonts w:ascii="Arial" w:eastAsia="Calibri" w:hAnsi="Arial" w:cs="Arial"/>
          <w:sz w:val="22"/>
          <w:szCs w:val="22"/>
          <w:lang w:eastAsia="en-US"/>
        </w:rPr>
        <w:t>, 2000) con una vida media de 10 a 20 años (ATSDR, 2007).</w:t>
      </w:r>
    </w:p>
    <w:p w:rsidR="00D8614C" w:rsidRDefault="00D8614C" w:rsidP="00F5676C">
      <w:pPr>
        <w:tabs>
          <w:tab w:val="left" w:pos="284"/>
          <w:tab w:val="left" w:pos="1560"/>
        </w:tabs>
        <w:spacing w:before="240" w:line="264" w:lineRule="auto"/>
        <w:ind w:right="-181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8614C">
        <w:rPr>
          <w:rFonts w:ascii="Arial" w:eastAsia="Calibri" w:hAnsi="Arial" w:cs="Arial"/>
          <w:b/>
          <w:sz w:val="22"/>
          <w:szCs w:val="22"/>
          <w:lang w:eastAsia="en-US"/>
        </w:rPr>
        <w:t>Bibliografía</w:t>
      </w:r>
    </w:p>
    <w:p w:rsidR="00F5676C" w:rsidRPr="00F5676C" w:rsidRDefault="00F5676C" w:rsidP="00F5676C">
      <w:pPr>
        <w:pStyle w:val="Prrafodelista"/>
        <w:spacing w:before="120"/>
        <w:ind w:left="284" w:hanging="284"/>
        <w:contextualSpacing w:val="0"/>
        <w:jc w:val="both"/>
        <w:rPr>
          <w:rFonts w:ascii="Arial" w:hAnsi="Arial" w:cs="Arial"/>
          <w:sz w:val="18"/>
          <w:szCs w:val="22"/>
        </w:rPr>
      </w:pPr>
      <w:r w:rsidRPr="00F5676C">
        <w:rPr>
          <w:rFonts w:ascii="Arial" w:hAnsi="Arial" w:cs="Arial"/>
          <w:sz w:val="18"/>
          <w:szCs w:val="22"/>
        </w:rPr>
        <w:t>ATSDR - Agencia para Sustancias Tóxicas y el Registro de Enfermedades, 2007</w:t>
      </w:r>
      <w:r w:rsidRPr="00F5676C">
        <w:rPr>
          <w:rFonts w:ascii="Arial" w:hAnsi="Arial" w:cs="Arial"/>
          <w:i/>
          <w:sz w:val="18"/>
          <w:szCs w:val="22"/>
        </w:rPr>
        <w:t>.  Resumen de salud pública: plomo</w:t>
      </w:r>
      <w:r w:rsidRPr="00F5676C">
        <w:rPr>
          <w:rFonts w:ascii="Arial" w:hAnsi="Arial" w:cs="Arial"/>
          <w:sz w:val="18"/>
          <w:szCs w:val="22"/>
        </w:rPr>
        <w:t xml:space="preserve">.  </w:t>
      </w:r>
      <w:r w:rsidRPr="00F5676C">
        <w:rPr>
          <w:rFonts w:ascii="Arial" w:hAnsi="Arial" w:cs="Arial"/>
          <w:bCs/>
          <w:sz w:val="18"/>
          <w:szCs w:val="22"/>
        </w:rPr>
        <w:t>Departamento de Salud y Servicios Humanos de EE. UU. Servicio de Salud Pública.</w:t>
      </w:r>
      <w:r w:rsidRPr="00F5676C">
        <w:rPr>
          <w:rFonts w:ascii="Arial" w:hAnsi="Arial" w:cs="Arial"/>
          <w:i/>
          <w:iCs/>
          <w:sz w:val="18"/>
          <w:szCs w:val="22"/>
        </w:rPr>
        <w:t xml:space="preserve"> </w:t>
      </w:r>
      <w:r w:rsidRPr="00F5676C">
        <w:rPr>
          <w:rFonts w:ascii="Arial" w:hAnsi="Arial" w:cs="Arial"/>
          <w:iCs/>
          <w:sz w:val="18"/>
          <w:szCs w:val="22"/>
        </w:rPr>
        <w:t xml:space="preserve">CAS#: 7439-92-1. </w:t>
      </w:r>
      <w:r w:rsidRPr="00F5676C">
        <w:rPr>
          <w:rFonts w:ascii="Arial" w:hAnsi="Arial" w:cs="Arial"/>
          <w:sz w:val="18"/>
          <w:szCs w:val="22"/>
        </w:rPr>
        <w:t>[http://www.atsdr.cdc.gov/es/csem/plomo/es_pb-destino-biologico.html].</w:t>
      </w:r>
    </w:p>
    <w:p w:rsidR="00F5676C" w:rsidRPr="00F5676C" w:rsidRDefault="00F5676C" w:rsidP="00F5676C">
      <w:pPr>
        <w:pStyle w:val="Prrafodelista"/>
        <w:ind w:left="284" w:hanging="284"/>
        <w:contextualSpacing w:val="0"/>
        <w:jc w:val="both"/>
        <w:rPr>
          <w:rStyle w:val="titularpdf"/>
          <w:rFonts w:ascii="Arial" w:hAnsi="Arial" w:cs="Arial"/>
          <w:sz w:val="18"/>
          <w:szCs w:val="22"/>
          <w:lang w:val="es-PE"/>
        </w:rPr>
      </w:pPr>
      <w:r w:rsidRPr="00F5676C">
        <w:rPr>
          <w:rStyle w:val="titularpdf"/>
          <w:rFonts w:ascii="Arial" w:hAnsi="Arial" w:cs="Arial"/>
          <w:sz w:val="18"/>
          <w:szCs w:val="22"/>
          <w:lang w:val="es-PE"/>
        </w:rPr>
        <w:t xml:space="preserve">Calderón, J.V., Maldonado, M., 2008. </w:t>
      </w:r>
      <w:r w:rsidRPr="00F5676C">
        <w:rPr>
          <w:rStyle w:val="titularpdf"/>
          <w:rFonts w:ascii="Arial" w:hAnsi="Arial" w:cs="Arial"/>
          <w:i/>
          <w:sz w:val="18"/>
          <w:szCs w:val="22"/>
          <w:lang w:val="es-PE"/>
        </w:rPr>
        <w:t>Contaminación e intoxicación por plomo</w:t>
      </w:r>
      <w:r w:rsidRPr="00F5676C">
        <w:rPr>
          <w:rStyle w:val="titularpdf"/>
          <w:rFonts w:ascii="Arial" w:hAnsi="Arial" w:cs="Arial"/>
          <w:sz w:val="18"/>
          <w:szCs w:val="22"/>
          <w:lang w:val="es-PE"/>
        </w:rPr>
        <w:t xml:space="preserve">. Trillas, México,  124 pp. </w:t>
      </w:r>
    </w:p>
    <w:p w:rsidR="00F5676C" w:rsidRPr="00F5676C" w:rsidRDefault="00F5676C" w:rsidP="00F5676C">
      <w:pPr>
        <w:pStyle w:val="Prrafodelista"/>
        <w:ind w:left="284" w:hanging="284"/>
        <w:contextualSpacing w:val="0"/>
        <w:jc w:val="both"/>
        <w:rPr>
          <w:rFonts w:ascii="Arial" w:hAnsi="Arial" w:cs="Arial"/>
          <w:sz w:val="18"/>
          <w:szCs w:val="22"/>
        </w:rPr>
      </w:pPr>
      <w:proofErr w:type="spellStart"/>
      <w:r w:rsidRPr="00F5676C">
        <w:rPr>
          <w:rFonts w:ascii="Arial" w:hAnsi="Arial" w:cs="Arial"/>
          <w:sz w:val="18"/>
          <w:szCs w:val="22"/>
        </w:rPr>
        <w:t>Duffus</w:t>
      </w:r>
      <w:proofErr w:type="spellEnd"/>
      <w:r w:rsidRPr="00F5676C">
        <w:rPr>
          <w:rFonts w:ascii="Arial" w:hAnsi="Arial" w:cs="Arial"/>
          <w:sz w:val="18"/>
          <w:szCs w:val="22"/>
        </w:rPr>
        <w:t xml:space="preserve">, J.H., 1983. </w:t>
      </w:r>
      <w:r w:rsidRPr="00F5676C">
        <w:rPr>
          <w:rFonts w:ascii="Arial" w:hAnsi="Arial" w:cs="Arial"/>
          <w:i/>
          <w:sz w:val="18"/>
          <w:szCs w:val="22"/>
        </w:rPr>
        <w:t>Toxicología ambiental</w:t>
      </w:r>
      <w:r w:rsidRPr="00F5676C">
        <w:rPr>
          <w:rFonts w:ascii="Arial" w:hAnsi="Arial" w:cs="Arial"/>
          <w:sz w:val="18"/>
          <w:szCs w:val="22"/>
        </w:rPr>
        <w:t xml:space="preserve">. Omega, España, 284 pp. </w:t>
      </w:r>
    </w:p>
    <w:p w:rsidR="00F5676C" w:rsidRPr="00F5676C" w:rsidRDefault="00F5676C" w:rsidP="00F5676C">
      <w:pPr>
        <w:pStyle w:val="Prrafodelista"/>
        <w:ind w:left="284" w:hanging="284"/>
        <w:contextualSpacing w:val="0"/>
        <w:jc w:val="both"/>
        <w:rPr>
          <w:rFonts w:ascii="Arial" w:eastAsia="Calibri" w:hAnsi="Arial" w:cs="Arial"/>
          <w:iCs/>
          <w:sz w:val="18"/>
          <w:szCs w:val="22"/>
          <w:lang w:val="en-US"/>
        </w:rPr>
      </w:pPr>
      <w:r w:rsidRPr="00F5676C">
        <w:rPr>
          <w:rFonts w:ascii="Arial" w:hAnsi="Arial" w:cs="Arial"/>
          <w:sz w:val="18"/>
          <w:szCs w:val="22"/>
          <w:lang w:val="es-PE"/>
        </w:rPr>
        <w:t xml:space="preserve">Durán, P.A., 2010. </w:t>
      </w:r>
      <w:r w:rsidRPr="00F5676C">
        <w:rPr>
          <w:rFonts w:ascii="Arial" w:eastAsia="Calibri" w:hAnsi="Arial" w:cs="Arial"/>
          <w:bCs/>
          <w:i/>
          <w:iCs/>
          <w:sz w:val="18"/>
          <w:szCs w:val="22"/>
          <w:lang w:val="es-PE"/>
        </w:rPr>
        <w:t>Transferencia de metales de suelo a planta en áreas mineras: Ejemplos de los Andes peruanos y de la Cordillera Pre litoral Catalana</w:t>
      </w:r>
      <w:r w:rsidRPr="00F5676C">
        <w:rPr>
          <w:rFonts w:ascii="Arial" w:eastAsia="Calibri" w:hAnsi="Arial" w:cs="Arial"/>
          <w:iCs/>
          <w:sz w:val="18"/>
          <w:szCs w:val="22"/>
          <w:lang w:val="es-PE"/>
        </w:rPr>
        <w:t xml:space="preserve">. </w:t>
      </w:r>
      <w:r w:rsidRPr="00F5676C">
        <w:rPr>
          <w:rFonts w:ascii="Arial" w:eastAsia="Calibri" w:hAnsi="Arial" w:cs="Arial"/>
          <w:iCs/>
          <w:sz w:val="18"/>
          <w:szCs w:val="22"/>
          <w:lang w:val="en-US"/>
        </w:rPr>
        <w:t>PhD Thesis, University of Barcelona.</w:t>
      </w:r>
    </w:p>
    <w:p w:rsidR="00F5676C" w:rsidRPr="00F5676C" w:rsidRDefault="00F5676C" w:rsidP="00F5676C">
      <w:pPr>
        <w:ind w:left="284" w:hanging="284"/>
        <w:rPr>
          <w:rFonts w:ascii="Arial" w:hAnsi="Arial" w:cs="Arial"/>
          <w:sz w:val="18"/>
          <w:szCs w:val="22"/>
          <w:lang w:val="es-PE"/>
        </w:rPr>
      </w:pPr>
      <w:r w:rsidRPr="00F5676C">
        <w:rPr>
          <w:rFonts w:ascii="Arial" w:eastAsia="Calibri" w:hAnsi="Arial" w:cs="Arial"/>
          <w:bCs/>
          <w:sz w:val="18"/>
          <w:szCs w:val="22"/>
        </w:rPr>
        <w:t xml:space="preserve">García, I.,  </w:t>
      </w:r>
      <w:proofErr w:type="spellStart"/>
      <w:r w:rsidRPr="00F5676C">
        <w:rPr>
          <w:rFonts w:ascii="Arial" w:eastAsia="Calibri" w:hAnsi="Arial" w:cs="Arial"/>
          <w:bCs/>
          <w:sz w:val="18"/>
          <w:szCs w:val="22"/>
        </w:rPr>
        <w:t>Dorronsoro</w:t>
      </w:r>
      <w:proofErr w:type="spellEnd"/>
      <w:r w:rsidRPr="00F5676C">
        <w:rPr>
          <w:rFonts w:ascii="Arial" w:eastAsia="Calibri" w:hAnsi="Arial" w:cs="Arial"/>
          <w:bCs/>
          <w:sz w:val="18"/>
          <w:szCs w:val="22"/>
        </w:rPr>
        <w:t xml:space="preserve">, C.F., 2005. </w:t>
      </w:r>
      <w:r w:rsidRPr="00F5676C">
        <w:rPr>
          <w:rFonts w:ascii="Arial" w:eastAsia="Calibri" w:hAnsi="Arial" w:cs="Arial"/>
          <w:sz w:val="18"/>
          <w:szCs w:val="22"/>
          <w:lang w:val="es-PE"/>
        </w:rPr>
        <w:t>Contaminación por metales pesados. In</w:t>
      </w:r>
      <w:r w:rsidRPr="00F5676C">
        <w:rPr>
          <w:rFonts w:ascii="Arial" w:eastAsia="Calibri" w:hAnsi="Arial" w:cs="Arial"/>
          <w:i/>
          <w:sz w:val="18"/>
          <w:szCs w:val="22"/>
          <w:lang w:val="es-PE"/>
        </w:rPr>
        <w:t xml:space="preserve"> Tecnología de Suelos</w:t>
      </w:r>
      <w:r w:rsidRPr="00F5676C">
        <w:rPr>
          <w:rFonts w:ascii="Arial" w:eastAsia="Calibri" w:hAnsi="Arial" w:cs="Arial"/>
          <w:sz w:val="18"/>
          <w:szCs w:val="22"/>
          <w:lang w:val="es-PE"/>
        </w:rPr>
        <w:t xml:space="preserve">. Universidad de Granada. Departamento de Edafología y Química Agrícola. </w:t>
      </w:r>
      <w:r w:rsidRPr="00F5676C">
        <w:rPr>
          <w:rFonts w:ascii="Arial" w:hAnsi="Arial" w:cs="Arial"/>
          <w:sz w:val="18"/>
          <w:szCs w:val="22"/>
          <w:lang w:val="es-PE"/>
        </w:rPr>
        <w:t>http://www.edafologia.net/conta/tema15/dina.htm.</w:t>
      </w:r>
    </w:p>
    <w:p w:rsidR="00F5676C" w:rsidRPr="00F5676C" w:rsidRDefault="00F5676C" w:rsidP="00F5676C">
      <w:pPr>
        <w:pStyle w:val="Prrafodelista"/>
        <w:ind w:left="284" w:hanging="284"/>
        <w:contextualSpacing w:val="0"/>
        <w:jc w:val="both"/>
        <w:rPr>
          <w:rFonts w:ascii="Arial" w:hAnsi="Arial" w:cs="Arial"/>
          <w:sz w:val="18"/>
          <w:szCs w:val="22"/>
          <w:lang w:val="en-US"/>
        </w:rPr>
      </w:pPr>
      <w:r w:rsidRPr="00F5676C">
        <w:rPr>
          <w:rFonts w:ascii="Arial" w:hAnsi="Arial" w:cs="Arial"/>
          <w:sz w:val="18"/>
          <w:szCs w:val="22"/>
          <w:lang w:val="pt-PT"/>
        </w:rPr>
        <w:t>Goetendia, L.Z., Ruíz, L.F.</w:t>
      </w:r>
      <w:r w:rsidR="00FD6350">
        <w:rPr>
          <w:rFonts w:ascii="Arial" w:hAnsi="Arial" w:cs="Arial"/>
          <w:sz w:val="18"/>
          <w:szCs w:val="22"/>
          <w:lang w:val="pt-PT"/>
        </w:rPr>
        <w:t>, 2009</w:t>
      </w:r>
      <w:r w:rsidRPr="00F5676C">
        <w:rPr>
          <w:rFonts w:ascii="Arial" w:hAnsi="Arial" w:cs="Arial"/>
          <w:sz w:val="18"/>
          <w:szCs w:val="22"/>
          <w:lang w:val="pt-PT"/>
        </w:rPr>
        <w:t xml:space="preserve">. </w:t>
      </w:r>
      <w:r w:rsidRPr="00F5676C">
        <w:rPr>
          <w:rFonts w:ascii="Arial" w:hAnsi="Arial" w:cs="Arial"/>
          <w:i/>
          <w:sz w:val="18"/>
          <w:szCs w:val="22"/>
        </w:rPr>
        <w:t xml:space="preserve">Estudio de contaminación del río Mantaro debido a los metales pesados y su influencia en la agricultura en las zonas de </w:t>
      </w:r>
      <w:proofErr w:type="spellStart"/>
      <w:r w:rsidRPr="00F5676C">
        <w:rPr>
          <w:rFonts w:ascii="Arial" w:hAnsi="Arial" w:cs="Arial"/>
          <w:i/>
          <w:sz w:val="18"/>
          <w:szCs w:val="22"/>
        </w:rPr>
        <w:t>Huaripampa</w:t>
      </w:r>
      <w:proofErr w:type="spellEnd"/>
      <w:r w:rsidRPr="00F5676C">
        <w:rPr>
          <w:rFonts w:ascii="Arial" w:hAnsi="Arial" w:cs="Arial"/>
          <w:i/>
          <w:sz w:val="18"/>
          <w:szCs w:val="22"/>
        </w:rPr>
        <w:t xml:space="preserve"> y </w:t>
      </w:r>
      <w:proofErr w:type="spellStart"/>
      <w:r w:rsidRPr="00F5676C">
        <w:rPr>
          <w:rFonts w:ascii="Arial" w:hAnsi="Arial" w:cs="Arial"/>
          <w:i/>
          <w:sz w:val="18"/>
          <w:szCs w:val="22"/>
        </w:rPr>
        <w:t>Muquiyauyo</w:t>
      </w:r>
      <w:proofErr w:type="spellEnd"/>
      <w:r w:rsidRPr="00F5676C">
        <w:rPr>
          <w:rFonts w:ascii="Arial" w:hAnsi="Arial" w:cs="Arial"/>
          <w:i/>
          <w:sz w:val="18"/>
          <w:szCs w:val="22"/>
        </w:rPr>
        <w:t>.</w:t>
      </w:r>
      <w:r w:rsidRPr="00F5676C">
        <w:rPr>
          <w:rFonts w:ascii="Arial" w:hAnsi="Arial" w:cs="Arial"/>
          <w:sz w:val="18"/>
          <w:szCs w:val="22"/>
        </w:rPr>
        <w:t xml:space="preserve"> </w:t>
      </w:r>
      <w:r w:rsidR="00FD6350">
        <w:rPr>
          <w:rFonts w:ascii="Arial" w:hAnsi="Arial" w:cs="Arial"/>
          <w:sz w:val="18"/>
          <w:szCs w:val="22"/>
        </w:rPr>
        <w:t>(Tesis Ingeniero Químico)</w:t>
      </w:r>
      <w:r w:rsidRPr="00F5676C">
        <w:rPr>
          <w:rFonts w:ascii="Arial" w:hAnsi="Arial" w:cs="Arial"/>
          <w:sz w:val="18"/>
          <w:szCs w:val="22"/>
          <w:lang w:val="en-US"/>
        </w:rPr>
        <w:t>.</w:t>
      </w:r>
      <w:r w:rsidR="00FD6350">
        <w:rPr>
          <w:rFonts w:ascii="Arial" w:hAnsi="Arial" w:cs="Arial"/>
          <w:sz w:val="18"/>
          <w:szCs w:val="22"/>
          <w:lang w:val="en-US"/>
        </w:rPr>
        <w:t xml:space="preserve"> Universidad Nacional </w:t>
      </w:r>
      <w:proofErr w:type="gramStart"/>
      <w:r w:rsidR="00FD6350">
        <w:rPr>
          <w:rFonts w:ascii="Arial" w:hAnsi="Arial" w:cs="Arial"/>
          <w:sz w:val="18"/>
          <w:szCs w:val="22"/>
          <w:lang w:val="en-US"/>
        </w:rPr>
        <w:t>del</w:t>
      </w:r>
      <w:proofErr w:type="gramEnd"/>
      <w:r w:rsidR="00FD6350">
        <w:rPr>
          <w:rFonts w:ascii="Arial" w:hAnsi="Arial" w:cs="Arial"/>
          <w:sz w:val="18"/>
          <w:szCs w:val="22"/>
          <w:lang w:val="en-US"/>
        </w:rPr>
        <w:t xml:space="preserve"> Centro del</w:t>
      </w:r>
      <w:r w:rsidRPr="00F5676C">
        <w:rPr>
          <w:rFonts w:ascii="Arial" w:hAnsi="Arial" w:cs="Arial"/>
          <w:sz w:val="18"/>
          <w:szCs w:val="22"/>
          <w:lang w:val="en-US"/>
        </w:rPr>
        <w:t xml:space="preserve"> </w:t>
      </w:r>
      <w:proofErr w:type="spellStart"/>
      <w:r w:rsidRPr="00F5676C">
        <w:rPr>
          <w:rFonts w:ascii="Arial" w:hAnsi="Arial" w:cs="Arial"/>
          <w:sz w:val="18"/>
          <w:szCs w:val="22"/>
          <w:lang w:val="en-US"/>
        </w:rPr>
        <w:t>Per</w:t>
      </w:r>
      <w:r w:rsidR="00FD6350">
        <w:rPr>
          <w:rFonts w:ascii="Arial" w:hAnsi="Arial" w:cs="Arial"/>
          <w:sz w:val="18"/>
          <w:szCs w:val="22"/>
          <w:lang w:val="en-US"/>
        </w:rPr>
        <w:t>ú</w:t>
      </w:r>
      <w:proofErr w:type="spellEnd"/>
      <w:r w:rsidRPr="00F5676C">
        <w:rPr>
          <w:rFonts w:ascii="Arial" w:hAnsi="Arial" w:cs="Arial"/>
          <w:sz w:val="18"/>
          <w:szCs w:val="22"/>
          <w:lang w:val="en-US"/>
        </w:rPr>
        <w:t>.</w:t>
      </w:r>
    </w:p>
    <w:p w:rsidR="00F5676C" w:rsidRPr="00F5676C" w:rsidRDefault="00F5676C" w:rsidP="00F5676C">
      <w:pPr>
        <w:pStyle w:val="Prrafodelista"/>
        <w:ind w:left="284" w:hanging="284"/>
        <w:contextualSpacing w:val="0"/>
        <w:jc w:val="both"/>
        <w:rPr>
          <w:rFonts w:ascii="Arial" w:hAnsi="Arial" w:cs="Arial"/>
          <w:sz w:val="18"/>
          <w:szCs w:val="22"/>
          <w:lang w:val="es-PE"/>
        </w:rPr>
      </w:pPr>
      <w:r w:rsidRPr="00F5676C">
        <w:rPr>
          <w:rFonts w:ascii="Arial" w:hAnsi="Arial" w:cs="Arial"/>
          <w:sz w:val="18"/>
          <w:szCs w:val="22"/>
          <w:lang w:val="es-PE"/>
        </w:rPr>
        <w:t>Ministerio de Agricultura, 2011a.</w:t>
      </w:r>
      <w:r w:rsidRPr="00F5676C">
        <w:rPr>
          <w:rFonts w:ascii="Arial" w:hAnsi="Arial" w:cs="Arial"/>
          <w:i/>
          <w:sz w:val="18"/>
          <w:szCs w:val="22"/>
          <w:lang w:val="es-PE"/>
        </w:rPr>
        <w:t xml:space="preserve"> Estudio de conformación de bloques de riego para la formalización de derechos de uso de agua en el valle del Mantaro – CIMIRM</w:t>
      </w:r>
      <w:r w:rsidRPr="00F5676C">
        <w:rPr>
          <w:rFonts w:ascii="Arial" w:hAnsi="Arial" w:cs="Arial"/>
          <w:sz w:val="18"/>
          <w:szCs w:val="22"/>
          <w:lang w:val="es-PE"/>
        </w:rPr>
        <w:t>. Programa de Formalización de Derechos de Uso de Agua - PROFODUA Fase 2: Administración Local de Agua Mantaro. Junín, Perú.</w:t>
      </w:r>
    </w:p>
    <w:p w:rsidR="00F5676C" w:rsidRPr="00F5676C" w:rsidRDefault="00F5676C" w:rsidP="00F5676C">
      <w:pPr>
        <w:pStyle w:val="Prrafodelista"/>
        <w:ind w:left="284" w:hanging="284"/>
        <w:contextualSpacing w:val="0"/>
        <w:jc w:val="both"/>
        <w:rPr>
          <w:rFonts w:ascii="Arial" w:hAnsi="Arial" w:cs="Arial"/>
          <w:sz w:val="18"/>
          <w:szCs w:val="22"/>
        </w:rPr>
      </w:pPr>
      <w:r w:rsidRPr="00F5676C">
        <w:rPr>
          <w:rFonts w:ascii="Arial" w:hAnsi="Arial" w:cs="Arial"/>
          <w:sz w:val="18"/>
          <w:szCs w:val="22"/>
          <w:lang w:val="es-CO"/>
        </w:rPr>
        <w:t xml:space="preserve">Porta, J., López-Acevedo M., Roquero, C., 2003. </w:t>
      </w:r>
      <w:r w:rsidRPr="00F5676C">
        <w:rPr>
          <w:rFonts w:ascii="Arial" w:hAnsi="Arial" w:cs="Arial"/>
          <w:i/>
          <w:sz w:val="18"/>
          <w:szCs w:val="22"/>
        </w:rPr>
        <w:t>Edafología para la agricultura y el medio ambiente.</w:t>
      </w:r>
      <w:r w:rsidRPr="00F5676C">
        <w:rPr>
          <w:rFonts w:ascii="Arial" w:hAnsi="Arial" w:cs="Arial"/>
          <w:sz w:val="18"/>
          <w:szCs w:val="22"/>
        </w:rPr>
        <w:t xml:space="preserve"> 3ª ed., Ediciones </w:t>
      </w:r>
      <w:proofErr w:type="spellStart"/>
      <w:r w:rsidRPr="00F5676C">
        <w:rPr>
          <w:rFonts w:ascii="Arial" w:hAnsi="Arial" w:cs="Arial"/>
          <w:sz w:val="18"/>
          <w:szCs w:val="22"/>
        </w:rPr>
        <w:t>Mundi</w:t>
      </w:r>
      <w:proofErr w:type="spellEnd"/>
      <w:r w:rsidRPr="00F5676C">
        <w:rPr>
          <w:rFonts w:ascii="Arial" w:hAnsi="Arial" w:cs="Arial"/>
          <w:sz w:val="18"/>
          <w:szCs w:val="22"/>
        </w:rPr>
        <w:t xml:space="preserve">-Prensa, España, 929 pp. </w:t>
      </w:r>
    </w:p>
    <w:p w:rsidR="00F5676C" w:rsidRPr="00F5676C" w:rsidRDefault="00F5676C" w:rsidP="00F5676C">
      <w:pPr>
        <w:pStyle w:val="Prrafodelista"/>
        <w:ind w:left="284" w:hanging="284"/>
        <w:contextualSpacing w:val="0"/>
        <w:jc w:val="both"/>
        <w:rPr>
          <w:rStyle w:val="tituloverde"/>
          <w:rFonts w:ascii="Arial" w:hAnsi="Arial" w:cs="Arial"/>
          <w:sz w:val="18"/>
          <w:szCs w:val="22"/>
        </w:rPr>
      </w:pPr>
      <w:r w:rsidRPr="00F5676C">
        <w:rPr>
          <w:rStyle w:val="Hipervnculo"/>
          <w:rFonts w:ascii="Arial" w:eastAsia="Calibri" w:hAnsi="Arial" w:cs="Arial"/>
          <w:color w:val="auto"/>
          <w:sz w:val="18"/>
          <w:szCs w:val="22"/>
          <w:u w:val="none"/>
          <w:lang w:eastAsia="en-US"/>
        </w:rPr>
        <w:t>Proyecto Mantaro Revive, 2008.</w:t>
      </w:r>
      <w:r w:rsidRPr="00F5676C">
        <w:rPr>
          <w:rStyle w:val="Hipervnculo"/>
          <w:rFonts w:ascii="Arial" w:eastAsia="Calibri" w:hAnsi="Arial" w:cs="Arial"/>
          <w:color w:val="auto"/>
          <w:sz w:val="18"/>
          <w:szCs w:val="22"/>
          <w:lang w:eastAsia="en-US"/>
        </w:rPr>
        <w:t xml:space="preserve"> </w:t>
      </w:r>
      <w:r w:rsidRPr="00F5676C">
        <w:rPr>
          <w:rFonts w:ascii="Arial" w:hAnsi="Arial" w:cs="Arial"/>
          <w:i/>
          <w:sz w:val="18"/>
          <w:szCs w:val="22"/>
        </w:rPr>
        <w:t>Fortalecimiento de la gestión ambiental para la lucha contra la contaminación en la zona alta y media de la Cuenca del río Mantaro – Junín</w:t>
      </w:r>
      <w:r w:rsidRPr="00F5676C">
        <w:rPr>
          <w:rFonts w:ascii="Arial" w:hAnsi="Arial" w:cs="Arial"/>
          <w:sz w:val="18"/>
          <w:szCs w:val="22"/>
        </w:rPr>
        <w:t xml:space="preserve">. </w:t>
      </w:r>
      <w:r w:rsidRPr="00F5676C">
        <w:rPr>
          <w:rStyle w:val="tituloverde"/>
          <w:rFonts w:ascii="Arial" w:hAnsi="Arial" w:cs="Arial"/>
          <w:sz w:val="18"/>
          <w:szCs w:val="22"/>
        </w:rPr>
        <w:t xml:space="preserve"> Mesa de diálogo ambiental de la región Junín. Perú.</w:t>
      </w:r>
    </w:p>
    <w:p w:rsidR="00F5676C" w:rsidRPr="00F5676C" w:rsidRDefault="00F5676C" w:rsidP="00F5676C">
      <w:pPr>
        <w:pStyle w:val="Prrafodelista"/>
        <w:ind w:left="284" w:hanging="284"/>
        <w:contextualSpacing w:val="0"/>
        <w:jc w:val="both"/>
        <w:rPr>
          <w:rFonts w:ascii="Arial" w:hAnsi="Arial" w:cs="Arial"/>
          <w:sz w:val="18"/>
          <w:szCs w:val="22"/>
        </w:rPr>
      </w:pPr>
      <w:r w:rsidRPr="00F5676C">
        <w:rPr>
          <w:rFonts w:ascii="Arial" w:hAnsi="Arial" w:cs="Arial"/>
          <w:sz w:val="18"/>
          <w:szCs w:val="22"/>
        </w:rPr>
        <w:t xml:space="preserve">Saint Louis Missouri </w:t>
      </w:r>
      <w:proofErr w:type="spellStart"/>
      <w:r w:rsidRPr="00F5676C">
        <w:rPr>
          <w:rFonts w:ascii="Arial" w:hAnsi="Arial" w:cs="Arial"/>
          <w:sz w:val="18"/>
          <w:szCs w:val="22"/>
        </w:rPr>
        <w:t>University</w:t>
      </w:r>
      <w:proofErr w:type="spellEnd"/>
      <w:r w:rsidRPr="00F5676C">
        <w:rPr>
          <w:rFonts w:ascii="Arial" w:hAnsi="Arial" w:cs="Arial"/>
          <w:sz w:val="18"/>
          <w:szCs w:val="22"/>
        </w:rPr>
        <w:t>, 2005.</w:t>
      </w:r>
      <w:r w:rsidRPr="00F5676C">
        <w:rPr>
          <w:rFonts w:ascii="Arial" w:hAnsi="Arial" w:cs="Arial"/>
          <w:i/>
          <w:sz w:val="18"/>
          <w:szCs w:val="22"/>
        </w:rPr>
        <w:t xml:space="preserve"> Estudio sobre la contaminación ambiental en los hogares de La Oroya y Concepción y sus efectos en la salud de los residentes</w:t>
      </w:r>
      <w:r w:rsidRPr="00F5676C">
        <w:rPr>
          <w:rFonts w:ascii="Arial" w:hAnsi="Arial" w:cs="Arial"/>
          <w:sz w:val="18"/>
          <w:szCs w:val="22"/>
        </w:rPr>
        <w:t xml:space="preserve">. Arzobispado de Huancayo, Huancayo. </w:t>
      </w:r>
    </w:p>
    <w:p w:rsidR="00F5676C" w:rsidRDefault="00F5676C" w:rsidP="00F5676C">
      <w:pPr>
        <w:pStyle w:val="Prrafodelista"/>
        <w:ind w:left="284" w:hanging="284"/>
        <w:contextualSpacing w:val="0"/>
        <w:jc w:val="both"/>
        <w:rPr>
          <w:rFonts w:ascii="Arial" w:hAnsi="Arial" w:cs="Arial"/>
          <w:sz w:val="18"/>
          <w:szCs w:val="21"/>
        </w:rPr>
      </w:pPr>
      <w:r w:rsidRPr="00F5676C">
        <w:rPr>
          <w:rFonts w:ascii="Arial" w:hAnsi="Arial" w:cs="Arial"/>
          <w:bCs/>
          <w:sz w:val="18"/>
          <w:szCs w:val="22"/>
          <w:lang w:val="es-ES_tradnl"/>
        </w:rPr>
        <w:t xml:space="preserve">Saldívar Osorio, L., Tovar </w:t>
      </w:r>
      <w:proofErr w:type="spellStart"/>
      <w:r w:rsidRPr="00F5676C">
        <w:rPr>
          <w:rFonts w:ascii="Arial" w:hAnsi="Arial" w:cs="Arial"/>
          <w:bCs/>
          <w:sz w:val="18"/>
          <w:szCs w:val="22"/>
          <w:lang w:val="es-ES_tradnl"/>
        </w:rPr>
        <w:t>Tovar</w:t>
      </w:r>
      <w:proofErr w:type="spellEnd"/>
      <w:r w:rsidRPr="00F5676C">
        <w:rPr>
          <w:rFonts w:ascii="Arial" w:hAnsi="Arial" w:cs="Arial"/>
          <w:bCs/>
          <w:sz w:val="18"/>
          <w:szCs w:val="22"/>
          <w:lang w:val="es-ES_tradnl"/>
        </w:rPr>
        <w:t xml:space="preserve">, A., </w:t>
      </w:r>
      <w:proofErr w:type="spellStart"/>
      <w:r w:rsidRPr="00F5676C">
        <w:rPr>
          <w:rFonts w:ascii="Arial" w:hAnsi="Arial" w:cs="Arial"/>
          <w:bCs/>
          <w:sz w:val="18"/>
          <w:szCs w:val="22"/>
          <w:lang w:val="es-ES_tradnl"/>
        </w:rPr>
        <w:t>Namihira</w:t>
      </w:r>
      <w:proofErr w:type="spellEnd"/>
      <w:r w:rsidRPr="00F5676C">
        <w:rPr>
          <w:rFonts w:ascii="Arial" w:hAnsi="Arial" w:cs="Arial"/>
          <w:bCs/>
          <w:sz w:val="18"/>
          <w:szCs w:val="22"/>
          <w:lang w:val="es-ES_tradnl"/>
        </w:rPr>
        <w:t xml:space="preserve"> Guerrero, D., 1997. </w:t>
      </w:r>
      <w:r w:rsidRPr="00F5676C">
        <w:rPr>
          <w:rFonts w:ascii="Arial" w:hAnsi="Arial" w:cs="Arial"/>
          <w:sz w:val="18"/>
          <w:szCs w:val="22"/>
        </w:rPr>
        <w:t xml:space="preserve">Plomo. In: L.A. Albert (Ed), </w:t>
      </w:r>
      <w:r w:rsidRPr="00F5676C">
        <w:rPr>
          <w:rFonts w:ascii="Arial" w:hAnsi="Arial" w:cs="Arial"/>
          <w:i/>
          <w:sz w:val="18"/>
          <w:szCs w:val="22"/>
        </w:rPr>
        <w:t>Introducción a la Toxicología ambiental</w:t>
      </w:r>
      <w:r w:rsidRPr="00F5676C">
        <w:rPr>
          <w:rFonts w:ascii="Arial" w:hAnsi="Arial" w:cs="Arial"/>
          <w:sz w:val="18"/>
          <w:szCs w:val="22"/>
        </w:rPr>
        <w:t>. CEPIS-OPS/OMS, Metepec, pp.</w:t>
      </w:r>
      <w:r w:rsidRPr="00F5676C">
        <w:rPr>
          <w:rFonts w:ascii="Arial" w:hAnsi="Arial" w:cs="Arial"/>
          <w:sz w:val="18"/>
          <w:szCs w:val="21"/>
        </w:rPr>
        <w:t xml:space="preserve"> 247-261.</w:t>
      </w:r>
    </w:p>
    <w:p w:rsidR="00FD6350" w:rsidRDefault="00FD6350" w:rsidP="00FD6350">
      <w:pPr>
        <w:pStyle w:val="Prrafodelista"/>
        <w:spacing w:line="264" w:lineRule="auto"/>
        <w:ind w:left="284" w:hanging="284"/>
        <w:contextualSpacing w:val="0"/>
        <w:jc w:val="both"/>
        <w:rPr>
          <w:sz w:val="18"/>
          <w:szCs w:val="18"/>
          <w:lang w:val="es-PE"/>
        </w:rPr>
      </w:pPr>
      <w:r w:rsidRPr="00FD6350">
        <w:rPr>
          <w:sz w:val="18"/>
          <w:szCs w:val="18"/>
          <w:lang w:val="en-US" w:eastAsia="es-PE"/>
        </w:rPr>
        <w:t xml:space="preserve">World Health Organization, 2000. </w:t>
      </w:r>
      <w:r w:rsidRPr="00FD6350">
        <w:rPr>
          <w:sz w:val="18"/>
          <w:szCs w:val="18"/>
          <w:lang w:val="en-US"/>
        </w:rPr>
        <w:t>Lead. [</w:t>
      </w:r>
      <w:proofErr w:type="spellStart"/>
      <w:proofErr w:type="gramStart"/>
      <w:r w:rsidRPr="00FD6350">
        <w:rPr>
          <w:sz w:val="18"/>
          <w:szCs w:val="18"/>
          <w:lang w:val="en-US"/>
        </w:rPr>
        <w:t>aut</w:t>
      </w:r>
      <w:proofErr w:type="spellEnd"/>
      <w:proofErr w:type="gramEnd"/>
      <w:r w:rsidRPr="00FD6350">
        <w:rPr>
          <w:sz w:val="18"/>
          <w:szCs w:val="18"/>
          <w:lang w:val="en-US"/>
        </w:rPr>
        <w:t xml:space="preserve">. </w:t>
      </w:r>
      <w:proofErr w:type="spellStart"/>
      <w:r w:rsidRPr="00FD6350">
        <w:rPr>
          <w:sz w:val="18"/>
          <w:szCs w:val="18"/>
          <w:lang w:val="en-US"/>
        </w:rPr>
        <w:t>Libro</w:t>
      </w:r>
      <w:proofErr w:type="spellEnd"/>
      <w:r w:rsidRPr="00FD6350">
        <w:rPr>
          <w:sz w:val="18"/>
          <w:szCs w:val="18"/>
          <w:lang w:val="en-US"/>
        </w:rPr>
        <w:t xml:space="preserve">] OMS. In </w:t>
      </w:r>
      <w:r w:rsidRPr="00FD6350">
        <w:rPr>
          <w:i/>
          <w:iCs/>
          <w:sz w:val="18"/>
          <w:szCs w:val="18"/>
          <w:lang w:val="en-US"/>
        </w:rPr>
        <w:t xml:space="preserve">Air quality guidelines for Europe. </w:t>
      </w:r>
      <w:r w:rsidRPr="00FD6350">
        <w:rPr>
          <w:iCs/>
          <w:sz w:val="18"/>
          <w:szCs w:val="18"/>
          <w:lang w:val="es-PE"/>
        </w:rPr>
        <w:t>OMS/CEPIS</w:t>
      </w:r>
      <w:r w:rsidRPr="00FD6350">
        <w:rPr>
          <w:i/>
          <w:iCs/>
          <w:sz w:val="18"/>
          <w:szCs w:val="18"/>
          <w:lang w:val="es-PE"/>
        </w:rPr>
        <w:t xml:space="preserve">, </w:t>
      </w:r>
      <w:r w:rsidRPr="00FD6350">
        <w:rPr>
          <w:sz w:val="18"/>
          <w:szCs w:val="18"/>
          <w:lang w:val="es-PE"/>
        </w:rPr>
        <w:t>Copenhague.</w:t>
      </w:r>
    </w:p>
    <w:p w:rsidR="00FD6350" w:rsidRPr="00FD6350" w:rsidRDefault="00FD6350" w:rsidP="00FD6350">
      <w:pPr>
        <w:pStyle w:val="Prrafodelista"/>
        <w:spacing w:line="264" w:lineRule="auto"/>
        <w:ind w:left="284" w:hanging="284"/>
        <w:contextualSpacing w:val="0"/>
        <w:jc w:val="both"/>
        <w:rPr>
          <w:sz w:val="18"/>
          <w:szCs w:val="18"/>
          <w:lang w:val="es-PE"/>
        </w:rPr>
      </w:pPr>
    </w:p>
    <w:p w:rsidR="00FD6350" w:rsidRPr="00FD6350" w:rsidRDefault="00FD6350" w:rsidP="00F5676C">
      <w:pPr>
        <w:pStyle w:val="Prrafodelista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</w:p>
    <w:p w:rsidR="008913D8" w:rsidRPr="00BB540F" w:rsidRDefault="00BB540F" w:rsidP="00BB540F">
      <w:pPr>
        <w:pStyle w:val="Prrafodelista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B76340">
        <w:rPr>
          <w:rFonts w:ascii="Arial Black" w:hAnsi="Arial Black" w:cs="Arial"/>
          <w:b/>
          <w:szCs w:val="22"/>
        </w:rPr>
        <w:t>CURSO: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B540F">
        <w:rPr>
          <w:rFonts w:ascii="Arial" w:hAnsi="Arial" w:cs="Arial"/>
          <w:sz w:val="22"/>
          <w:szCs w:val="22"/>
        </w:rPr>
        <w:t>METODOLOGÍA DE LA INVESTIGACIÓN</w:t>
      </w:r>
    </w:p>
    <w:p w:rsidR="00BB540F" w:rsidRDefault="00BB540F" w:rsidP="00BB540F">
      <w:pPr>
        <w:pStyle w:val="Prrafodelista"/>
        <w:tabs>
          <w:tab w:val="left" w:pos="142"/>
          <w:tab w:val="left" w:pos="284"/>
        </w:tabs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BB540F" w:rsidRDefault="00BB540F" w:rsidP="00BB540F">
      <w:pPr>
        <w:pStyle w:val="Prrafodelista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76340">
        <w:rPr>
          <w:rFonts w:ascii="Arial Black" w:hAnsi="Arial Black" w:cs="Arial"/>
          <w:b/>
          <w:szCs w:val="22"/>
        </w:rPr>
        <w:t>SEMANA: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Quinta </w:t>
      </w:r>
    </w:p>
    <w:p w:rsidR="009F4ECE" w:rsidRPr="009F4ECE" w:rsidRDefault="009F4ECE" w:rsidP="009F4ECE">
      <w:pPr>
        <w:pStyle w:val="Prrafodelista"/>
        <w:rPr>
          <w:rFonts w:ascii="Arial" w:hAnsi="Arial" w:cs="Arial"/>
          <w:sz w:val="22"/>
          <w:szCs w:val="22"/>
        </w:rPr>
      </w:pPr>
    </w:p>
    <w:p w:rsidR="009F4ECE" w:rsidRPr="00B76340" w:rsidRDefault="009F4ECE" w:rsidP="00BB540F">
      <w:pPr>
        <w:pStyle w:val="Prrafodelista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Arial Black" w:hAnsi="Arial Black" w:cs="Arial"/>
          <w:b/>
          <w:szCs w:val="22"/>
        </w:rPr>
      </w:pPr>
      <w:r w:rsidRPr="00B76340">
        <w:rPr>
          <w:rFonts w:ascii="Arial Black" w:hAnsi="Arial Black" w:cs="Arial"/>
          <w:b/>
          <w:szCs w:val="22"/>
        </w:rPr>
        <w:t>OBJETIVO DE APRENDIZAJE:</w:t>
      </w:r>
    </w:p>
    <w:p w:rsidR="00657C24" w:rsidRPr="009F4ECE" w:rsidRDefault="009F4ECE" w:rsidP="000A356C">
      <w:pPr>
        <w:spacing w:before="120"/>
        <w:jc w:val="both"/>
        <w:rPr>
          <w:rFonts w:ascii="Arial" w:hAnsi="Arial" w:cs="Arial"/>
          <w:sz w:val="22"/>
          <w:szCs w:val="32"/>
        </w:rPr>
      </w:pPr>
      <w:r w:rsidRPr="009F4ECE">
        <w:rPr>
          <w:rFonts w:ascii="Arial" w:hAnsi="Arial" w:cs="Arial"/>
          <w:sz w:val="22"/>
          <w:szCs w:val="32"/>
        </w:rPr>
        <w:t>Identifica</w:t>
      </w:r>
      <w:r w:rsidR="003E1396">
        <w:rPr>
          <w:rFonts w:ascii="Arial" w:hAnsi="Arial" w:cs="Arial"/>
          <w:sz w:val="22"/>
          <w:szCs w:val="32"/>
        </w:rPr>
        <w:t>, analiza</w:t>
      </w:r>
      <w:r w:rsidRPr="009F4ECE">
        <w:rPr>
          <w:rFonts w:ascii="Arial" w:hAnsi="Arial" w:cs="Arial"/>
          <w:sz w:val="22"/>
          <w:szCs w:val="32"/>
        </w:rPr>
        <w:t xml:space="preserve"> y formula problemas de investigación</w:t>
      </w:r>
      <w:r w:rsidR="007D69FE">
        <w:rPr>
          <w:rFonts w:ascii="Arial" w:hAnsi="Arial" w:cs="Arial"/>
          <w:sz w:val="22"/>
          <w:szCs w:val="32"/>
        </w:rPr>
        <w:t xml:space="preserve"> mediante interrogantes</w:t>
      </w:r>
      <w:r w:rsidR="000A356C">
        <w:rPr>
          <w:rFonts w:ascii="Arial" w:hAnsi="Arial" w:cs="Arial"/>
          <w:sz w:val="22"/>
          <w:szCs w:val="32"/>
        </w:rPr>
        <w:t xml:space="preserve"> para encontrar soluciones desde diferentes enfoques al problema de contaminación del río Mantaro</w:t>
      </w:r>
      <w:r>
        <w:rPr>
          <w:rFonts w:ascii="Arial" w:hAnsi="Arial" w:cs="Arial"/>
          <w:sz w:val="22"/>
          <w:szCs w:val="32"/>
        </w:rPr>
        <w:t>.</w:t>
      </w:r>
    </w:p>
    <w:p w:rsidR="00657C24" w:rsidRDefault="00657C24" w:rsidP="009F4ECE">
      <w:pPr>
        <w:ind w:firstLine="284"/>
        <w:jc w:val="both"/>
        <w:rPr>
          <w:sz w:val="18"/>
        </w:rPr>
      </w:pPr>
    </w:p>
    <w:p w:rsidR="00B76340" w:rsidRDefault="00B76340" w:rsidP="009F4ECE">
      <w:pPr>
        <w:ind w:firstLine="284"/>
        <w:jc w:val="both"/>
        <w:rPr>
          <w:sz w:val="18"/>
        </w:rPr>
      </w:pPr>
    </w:p>
    <w:p w:rsidR="00B76340" w:rsidRDefault="00B76340" w:rsidP="009F4ECE">
      <w:pPr>
        <w:ind w:firstLine="284"/>
        <w:jc w:val="both"/>
        <w:rPr>
          <w:sz w:val="18"/>
        </w:rPr>
      </w:pPr>
    </w:p>
    <w:p w:rsidR="00B76340" w:rsidRDefault="00B76340" w:rsidP="009F4ECE">
      <w:pPr>
        <w:ind w:firstLine="284"/>
        <w:jc w:val="both"/>
        <w:rPr>
          <w:sz w:val="18"/>
        </w:rPr>
      </w:pPr>
    </w:p>
    <w:p w:rsidR="00B76340" w:rsidRDefault="00B76340" w:rsidP="009F4ECE">
      <w:pPr>
        <w:ind w:firstLine="284"/>
        <w:jc w:val="both"/>
        <w:rPr>
          <w:sz w:val="18"/>
        </w:rPr>
      </w:pPr>
    </w:p>
    <w:p w:rsidR="00B76340" w:rsidRDefault="00B76340" w:rsidP="009F4ECE">
      <w:pPr>
        <w:ind w:firstLine="284"/>
        <w:jc w:val="both"/>
        <w:rPr>
          <w:sz w:val="18"/>
        </w:rPr>
      </w:pPr>
    </w:p>
    <w:p w:rsidR="00B76340" w:rsidRDefault="00B76340" w:rsidP="009F4ECE">
      <w:pPr>
        <w:ind w:firstLine="284"/>
        <w:jc w:val="both"/>
        <w:rPr>
          <w:sz w:val="18"/>
        </w:rPr>
      </w:pPr>
    </w:p>
    <w:p w:rsidR="00B76340" w:rsidRDefault="00B76340" w:rsidP="009F4ECE">
      <w:pPr>
        <w:ind w:firstLine="284"/>
        <w:jc w:val="both"/>
        <w:rPr>
          <w:sz w:val="18"/>
        </w:rPr>
      </w:pPr>
    </w:p>
    <w:p w:rsidR="00B76340" w:rsidRDefault="00B76340" w:rsidP="009F4ECE">
      <w:pPr>
        <w:ind w:firstLine="284"/>
        <w:jc w:val="both"/>
        <w:rPr>
          <w:sz w:val="18"/>
        </w:rPr>
      </w:pPr>
    </w:p>
    <w:p w:rsidR="009733A2" w:rsidRDefault="009733A2" w:rsidP="009F4ECE">
      <w:pPr>
        <w:ind w:firstLine="284"/>
        <w:jc w:val="both"/>
        <w:rPr>
          <w:sz w:val="18"/>
        </w:rPr>
      </w:pPr>
    </w:p>
    <w:p w:rsidR="00B76340" w:rsidRDefault="00B76340" w:rsidP="009F4ECE">
      <w:pPr>
        <w:ind w:firstLine="284"/>
        <w:jc w:val="both"/>
        <w:rPr>
          <w:sz w:val="18"/>
        </w:rPr>
      </w:pPr>
    </w:p>
    <w:p w:rsidR="00B76340" w:rsidRDefault="00B76340" w:rsidP="009F4ECE">
      <w:pPr>
        <w:ind w:firstLine="284"/>
        <w:jc w:val="both"/>
        <w:rPr>
          <w:sz w:val="18"/>
        </w:rPr>
      </w:pPr>
    </w:p>
    <w:p w:rsidR="00B76340" w:rsidRDefault="00B76340" w:rsidP="009F4ECE">
      <w:pPr>
        <w:ind w:firstLine="284"/>
        <w:jc w:val="both"/>
        <w:rPr>
          <w:sz w:val="18"/>
        </w:rPr>
      </w:pPr>
    </w:p>
    <w:tbl>
      <w:tblPr>
        <w:tblStyle w:val="Tablaconcuadrcula"/>
        <w:tblW w:w="9843" w:type="dxa"/>
        <w:tblInd w:w="-675" w:type="dxa"/>
        <w:tblLook w:val="04A0" w:firstRow="1" w:lastRow="0" w:firstColumn="1" w:lastColumn="0" w:noHBand="0" w:noVBand="1"/>
      </w:tblPr>
      <w:tblGrid>
        <w:gridCol w:w="1751"/>
        <w:gridCol w:w="2497"/>
        <w:gridCol w:w="1417"/>
        <w:gridCol w:w="2434"/>
        <w:gridCol w:w="1744"/>
      </w:tblGrid>
      <w:tr w:rsidR="00BF7317" w:rsidRPr="00E128E3" w:rsidTr="0065229D">
        <w:trPr>
          <w:trHeight w:val="327"/>
        </w:trPr>
        <w:tc>
          <w:tcPr>
            <w:tcW w:w="1751" w:type="dxa"/>
          </w:tcPr>
          <w:p w:rsidR="00B76340" w:rsidRPr="00E128E3" w:rsidRDefault="00B76340" w:rsidP="009733A2">
            <w:pPr>
              <w:spacing w:before="120"/>
              <w:rPr>
                <w:rFonts w:ascii="Arial" w:hAnsi="Arial" w:cs="Arial"/>
                <w:b/>
              </w:rPr>
            </w:pPr>
            <w:r w:rsidRPr="00E128E3">
              <w:rPr>
                <w:rFonts w:ascii="Arial" w:hAnsi="Arial" w:cs="Arial"/>
                <w:b/>
              </w:rPr>
              <w:t xml:space="preserve">Contenido </w:t>
            </w:r>
          </w:p>
        </w:tc>
        <w:tc>
          <w:tcPr>
            <w:tcW w:w="2497" w:type="dxa"/>
          </w:tcPr>
          <w:p w:rsidR="00B76340" w:rsidRPr="00E128E3" w:rsidRDefault="00B76340" w:rsidP="009733A2">
            <w:pPr>
              <w:spacing w:before="120"/>
              <w:rPr>
                <w:rFonts w:ascii="Arial" w:hAnsi="Arial" w:cs="Arial"/>
                <w:b/>
              </w:rPr>
            </w:pPr>
            <w:r w:rsidRPr="00E128E3">
              <w:rPr>
                <w:rFonts w:ascii="Arial" w:hAnsi="Arial" w:cs="Arial"/>
                <w:b/>
              </w:rPr>
              <w:t xml:space="preserve">Actividades </w:t>
            </w:r>
          </w:p>
        </w:tc>
        <w:tc>
          <w:tcPr>
            <w:tcW w:w="1417" w:type="dxa"/>
          </w:tcPr>
          <w:p w:rsidR="00B76340" w:rsidRPr="00E128E3" w:rsidRDefault="00B76340" w:rsidP="009733A2">
            <w:pPr>
              <w:spacing w:before="120"/>
              <w:rPr>
                <w:rFonts w:ascii="Arial" w:hAnsi="Arial" w:cs="Arial"/>
                <w:b/>
              </w:rPr>
            </w:pPr>
            <w:r w:rsidRPr="00E128E3">
              <w:rPr>
                <w:rFonts w:ascii="Arial" w:hAnsi="Arial" w:cs="Arial"/>
                <w:b/>
              </w:rPr>
              <w:t xml:space="preserve">Tiempo </w:t>
            </w:r>
          </w:p>
          <w:p w:rsidR="00B76340" w:rsidRPr="00E128E3" w:rsidRDefault="00B76340" w:rsidP="009733A2">
            <w:pPr>
              <w:spacing w:before="120"/>
              <w:rPr>
                <w:rFonts w:ascii="Arial" w:hAnsi="Arial" w:cs="Arial"/>
                <w:b/>
              </w:rPr>
            </w:pPr>
            <w:r w:rsidRPr="00E128E3">
              <w:rPr>
                <w:rFonts w:ascii="Arial" w:hAnsi="Arial" w:cs="Arial"/>
                <w:b/>
              </w:rPr>
              <w:t>(minutos)</w:t>
            </w:r>
          </w:p>
        </w:tc>
        <w:tc>
          <w:tcPr>
            <w:tcW w:w="2434" w:type="dxa"/>
          </w:tcPr>
          <w:p w:rsidR="00B76340" w:rsidRPr="00E128E3" w:rsidRDefault="00B76340" w:rsidP="009733A2">
            <w:pPr>
              <w:spacing w:before="120"/>
              <w:rPr>
                <w:rFonts w:ascii="Arial" w:hAnsi="Arial" w:cs="Arial"/>
                <w:b/>
              </w:rPr>
            </w:pPr>
            <w:r w:rsidRPr="00E128E3">
              <w:rPr>
                <w:rFonts w:ascii="Arial" w:hAnsi="Arial" w:cs="Arial"/>
                <w:b/>
              </w:rPr>
              <w:t>Instrumentos (rubrica)</w:t>
            </w:r>
          </w:p>
        </w:tc>
        <w:tc>
          <w:tcPr>
            <w:tcW w:w="1744" w:type="dxa"/>
          </w:tcPr>
          <w:p w:rsidR="00B76340" w:rsidRPr="00E128E3" w:rsidRDefault="00B76340" w:rsidP="009733A2">
            <w:pPr>
              <w:spacing w:before="120"/>
              <w:rPr>
                <w:rFonts w:ascii="Arial" w:hAnsi="Arial" w:cs="Arial"/>
                <w:b/>
              </w:rPr>
            </w:pPr>
            <w:r w:rsidRPr="00E128E3">
              <w:rPr>
                <w:rFonts w:ascii="Arial" w:hAnsi="Arial" w:cs="Arial"/>
                <w:b/>
              </w:rPr>
              <w:t xml:space="preserve">Recursos </w:t>
            </w:r>
          </w:p>
        </w:tc>
      </w:tr>
      <w:tr w:rsidR="00BF7317" w:rsidRPr="00E128E3" w:rsidTr="0065229D">
        <w:trPr>
          <w:trHeight w:val="2524"/>
        </w:trPr>
        <w:tc>
          <w:tcPr>
            <w:tcW w:w="1751" w:type="dxa"/>
          </w:tcPr>
          <w:p w:rsidR="009733A2" w:rsidRDefault="009733A2" w:rsidP="009733A2">
            <w:pPr>
              <w:rPr>
                <w:rFonts w:ascii="Arial" w:hAnsi="Arial" w:cs="Arial"/>
              </w:rPr>
            </w:pPr>
          </w:p>
          <w:p w:rsidR="00B76340" w:rsidRPr="00E128E3" w:rsidRDefault="009733A2" w:rsidP="0097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Planteamiento y formulación de problemas de investigación</w:t>
            </w:r>
            <w:r w:rsidR="00B76340" w:rsidRPr="00E128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97" w:type="dxa"/>
          </w:tcPr>
          <w:p w:rsidR="00B76340" w:rsidRPr="009733A2" w:rsidRDefault="00B76340" w:rsidP="009733A2">
            <w:pPr>
              <w:spacing w:before="120"/>
              <w:rPr>
                <w:rFonts w:ascii="Arial" w:hAnsi="Arial" w:cs="Arial"/>
                <w:b/>
                <w:u w:val="single"/>
              </w:rPr>
            </w:pPr>
            <w:r w:rsidRPr="009733A2">
              <w:rPr>
                <w:rFonts w:ascii="Arial" w:hAnsi="Arial" w:cs="Arial"/>
                <w:b/>
                <w:u w:val="single"/>
              </w:rPr>
              <w:t>El docente</w:t>
            </w:r>
          </w:p>
          <w:p w:rsidR="00B76340" w:rsidRPr="00E128E3" w:rsidRDefault="00B76340" w:rsidP="009733A2">
            <w:pPr>
              <w:pStyle w:val="Prrafodelista"/>
              <w:numPr>
                <w:ilvl w:val="0"/>
                <w:numId w:val="2"/>
              </w:numPr>
              <w:spacing w:before="120"/>
              <w:ind w:left="113" w:hanging="113"/>
              <w:contextualSpacing w:val="0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 xml:space="preserve">Entrega el caso de </w:t>
            </w:r>
            <w:r w:rsidR="009733A2">
              <w:rPr>
                <w:rFonts w:ascii="Arial" w:hAnsi="Arial" w:cs="Arial"/>
              </w:rPr>
              <w:t>contaminación del río Mantaro</w:t>
            </w:r>
            <w:r w:rsidRPr="00E128E3">
              <w:rPr>
                <w:rFonts w:ascii="Arial" w:hAnsi="Arial" w:cs="Arial"/>
              </w:rPr>
              <w:t xml:space="preserve"> </w:t>
            </w:r>
          </w:p>
          <w:p w:rsidR="00B76340" w:rsidRPr="009733A2" w:rsidRDefault="00B76340" w:rsidP="009733A2">
            <w:pPr>
              <w:spacing w:before="120"/>
              <w:rPr>
                <w:rFonts w:ascii="Arial" w:hAnsi="Arial" w:cs="Arial"/>
                <w:b/>
                <w:u w:val="single"/>
              </w:rPr>
            </w:pPr>
            <w:r w:rsidRPr="009733A2">
              <w:rPr>
                <w:rFonts w:ascii="Arial" w:hAnsi="Arial" w:cs="Arial"/>
                <w:b/>
                <w:u w:val="single"/>
              </w:rPr>
              <w:t xml:space="preserve">El estudiante </w:t>
            </w:r>
          </w:p>
          <w:p w:rsidR="00B76340" w:rsidRPr="00E128E3" w:rsidRDefault="00B76340" w:rsidP="0065229D">
            <w:pPr>
              <w:pStyle w:val="Prrafodelista"/>
              <w:numPr>
                <w:ilvl w:val="0"/>
                <w:numId w:val="2"/>
              </w:numPr>
              <w:spacing w:before="120"/>
              <w:ind w:left="113" w:hanging="113"/>
              <w:contextualSpacing w:val="0"/>
              <w:jc w:val="both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 xml:space="preserve">Identifica la temática </w:t>
            </w:r>
          </w:p>
          <w:p w:rsidR="00B76340" w:rsidRPr="00E128E3" w:rsidRDefault="00B76340" w:rsidP="009733A2">
            <w:pPr>
              <w:pStyle w:val="Prrafodelista"/>
              <w:numPr>
                <w:ilvl w:val="0"/>
                <w:numId w:val="2"/>
              </w:numPr>
              <w:ind w:left="113" w:hanging="113"/>
              <w:contextualSpacing w:val="0"/>
              <w:jc w:val="both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 xml:space="preserve">Analiza la temática y la causa de la temática </w:t>
            </w:r>
          </w:p>
          <w:p w:rsidR="00B76340" w:rsidRPr="00E128E3" w:rsidRDefault="00B76340" w:rsidP="009733A2">
            <w:pPr>
              <w:pStyle w:val="Prrafodelista"/>
              <w:numPr>
                <w:ilvl w:val="0"/>
                <w:numId w:val="2"/>
              </w:numPr>
              <w:ind w:left="113" w:hanging="113"/>
              <w:contextualSpacing w:val="0"/>
              <w:jc w:val="both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>Analiza la situación y el problema</w:t>
            </w:r>
          </w:p>
          <w:p w:rsidR="00B76340" w:rsidRPr="00E128E3" w:rsidRDefault="00B76340" w:rsidP="009733A2">
            <w:pPr>
              <w:pStyle w:val="Prrafodelista"/>
              <w:numPr>
                <w:ilvl w:val="0"/>
                <w:numId w:val="2"/>
              </w:numPr>
              <w:ind w:left="113" w:hanging="113"/>
              <w:contextualSpacing w:val="0"/>
              <w:jc w:val="both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 xml:space="preserve">Internaliza y sociabiliza </w:t>
            </w:r>
          </w:p>
          <w:p w:rsidR="00B76340" w:rsidRPr="009733A2" w:rsidRDefault="00B76340" w:rsidP="009733A2">
            <w:pPr>
              <w:spacing w:before="120"/>
              <w:rPr>
                <w:rFonts w:ascii="Arial" w:hAnsi="Arial" w:cs="Arial"/>
                <w:b/>
                <w:u w:val="single"/>
              </w:rPr>
            </w:pPr>
            <w:r w:rsidRPr="009733A2">
              <w:rPr>
                <w:rFonts w:ascii="Arial" w:hAnsi="Arial" w:cs="Arial"/>
                <w:b/>
                <w:u w:val="single"/>
              </w:rPr>
              <w:t xml:space="preserve">El docente </w:t>
            </w:r>
          </w:p>
          <w:p w:rsidR="00B76340" w:rsidRPr="00E128E3" w:rsidRDefault="00B76340" w:rsidP="0065229D">
            <w:pPr>
              <w:pStyle w:val="Prrafodelista"/>
              <w:numPr>
                <w:ilvl w:val="0"/>
                <w:numId w:val="2"/>
              </w:numPr>
              <w:spacing w:before="120"/>
              <w:ind w:left="272" w:hanging="272"/>
              <w:contextualSpacing w:val="0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 xml:space="preserve">Retroalimenta la temática  </w:t>
            </w:r>
          </w:p>
          <w:p w:rsidR="00B76340" w:rsidRPr="00E128E3" w:rsidRDefault="00B76340" w:rsidP="009733A2">
            <w:pPr>
              <w:pStyle w:val="Prrafodelista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:rsidR="00B76340" w:rsidRPr="00E128E3" w:rsidRDefault="00B76340" w:rsidP="00AB667E">
            <w:pPr>
              <w:rPr>
                <w:rFonts w:ascii="Arial" w:hAnsi="Arial" w:cs="Arial"/>
              </w:rPr>
            </w:pPr>
          </w:p>
          <w:p w:rsidR="009733A2" w:rsidRDefault="009733A2" w:rsidP="009733A2">
            <w:pPr>
              <w:pStyle w:val="Prrafodelista"/>
              <w:ind w:left="377"/>
              <w:rPr>
                <w:rFonts w:ascii="Arial" w:hAnsi="Arial" w:cs="Arial"/>
              </w:rPr>
            </w:pPr>
          </w:p>
          <w:p w:rsidR="00B76340" w:rsidRPr="00E128E3" w:rsidRDefault="00B76340" w:rsidP="00B76340">
            <w:pPr>
              <w:pStyle w:val="Prrafodelista"/>
              <w:numPr>
                <w:ilvl w:val="0"/>
                <w:numId w:val="2"/>
              </w:numPr>
              <w:ind w:left="377" w:hanging="284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 xml:space="preserve">10 </w:t>
            </w:r>
          </w:p>
          <w:p w:rsidR="00B76340" w:rsidRPr="00E128E3" w:rsidRDefault="00B76340" w:rsidP="00AB667E">
            <w:pPr>
              <w:rPr>
                <w:rFonts w:ascii="Arial" w:hAnsi="Arial" w:cs="Arial"/>
              </w:rPr>
            </w:pPr>
          </w:p>
          <w:p w:rsidR="00B76340" w:rsidRDefault="00B76340" w:rsidP="00AB667E">
            <w:pPr>
              <w:rPr>
                <w:rFonts w:ascii="Arial" w:hAnsi="Arial" w:cs="Arial"/>
              </w:rPr>
            </w:pPr>
          </w:p>
          <w:p w:rsidR="00B76340" w:rsidRPr="009733A2" w:rsidRDefault="00B76340" w:rsidP="00AB667E">
            <w:pPr>
              <w:rPr>
                <w:rFonts w:ascii="Arial" w:hAnsi="Arial" w:cs="Arial"/>
                <w:sz w:val="32"/>
              </w:rPr>
            </w:pPr>
          </w:p>
          <w:p w:rsidR="00B76340" w:rsidRPr="00E128E3" w:rsidRDefault="00B76340" w:rsidP="009733A2">
            <w:pPr>
              <w:pStyle w:val="Prrafodelista"/>
              <w:numPr>
                <w:ilvl w:val="0"/>
                <w:numId w:val="2"/>
              </w:numPr>
              <w:ind w:left="375" w:hanging="284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 xml:space="preserve">10 </w:t>
            </w:r>
          </w:p>
          <w:p w:rsidR="00B76340" w:rsidRPr="00E128E3" w:rsidRDefault="00B76340" w:rsidP="00B76340">
            <w:pPr>
              <w:pStyle w:val="Prrafodelista"/>
              <w:numPr>
                <w:ilvl w:val="0"/>
                <w:numId w:val="2"/>
              </w:numPr>
              <w:ind w:left="377" w:hanging="284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>10</w:t>
            </w:r>
          </w:p>
          <w:p w:rsidR="00B76340" w:rsidRDefault="00B76340" w:rsidP="00AB667E">
            <w:pPr>
              <w:pStyle w:val="Prrafodelista"/>
              <w:ind w:left="377"/>
              <w:rPr>
                <w:rFonts w:ascii="Arial" w:hAnsi="Arial" w:cs="Arial"/>
              </w:rPr>
            </w:pPr>
          </w:p>
          <w:p w:rsidR="009733A2" w:rsidRPr="00E128E3" w:rsidRDefault="009733A2" w:rsidP="00AB667E">
            <w:pPr>
              <w:pStyle w:val="Prrafodelista"/>
              <w:ind w:left="377"/>
              <w:rPr>
                <w:rFonts w:ascii="Arial" w:hAnsi="Arial" w:cs="Arial"/>
              </w:rPr>
            </w:pPr>
          </w:p>
          <w:p w:rsidR="00B76340" w:rsidRPr="00E128E3" w:rsidRDefault="00B76340" w:rsidP="00B76340">
            <w:pPr>
              <w:pStyle w:val="Prrafodelista"/>
              <w:numPr>
                <w:ilvl w:val="0"/>
                <w:numId w:val="2"/>
              </w:numPr>
              <w:ind w:left="377" w:hanging="284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>10</w:t>
            </w:r>
          </w:p>
          <w:p w:rsidR="00B76340" w:rsidRPr="00E128E3" w:rsidRDefault="00B76340" w:rsidP="00B76340">
            <w:pPr>
              <w:pStyle w:val="Prrafodelista"/>
              <w:numPr>
                <w:ilvl w:val="0"/>
                <w:numId w:val="2"/>
              </w:numPr>
              <w:ind w:left="377" w:hanging="284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>30</w:t>
            </w:r>
          </w:p>
          <w:p w:rsidR="00B76340" w:rsidRDefault="00B76340" w:rsidP="00B76340">
            <w:pPr>
              <w:pStyle w:val="Prrafodelista"/>
              <w:numPr>
                <w:ilvl w:val="0"/>
                <w:numId w:val="2"/>
              </w:numPr>
              <w:ind w:left="377" w:hanging="284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 xml:space="preserve">10 </w:t>
            </w:r>
          </w:p>
          <w:p w:rsidR="009733A2" w:rsidRDefault="009733A2" w:rsidP="009733A2">
            <w:pPr>
              <w:rPr>
                <w:rFonts w:ascii="Arial" w:hAnsi="Arial" w:cs="Arial"/>
              </w:rPr>
            </w:pPr>
          </w:p>
          <w:p w:rsidR="009733A2" w:rsidRDefault="009733A2" w:rsidP="009733A2">
            <w:pPr>
              <w:rPr>
                <w:rFonts w:ascii="Arial" w:hAnsi="Arial" w:cs="Arial"/>
              </w:rPr>
            </w:pPr>
          </w:p>
          <w:p w:rsidR="009733A2" w:rsidRDefault="009733A2" w:rsidP="009733A2">
            <w:pPr>
              <w:rPr>
                <w:rFonts w:ascii="Arial" w:hAnsi="Arial" w:cs="Arial"/>
              </w:rPr>
            </w:pPr>
          </w:p>
          <w:p w:rsidR="009733A2" w:rsidRPr="00BF7317" w:rsidRDefault="009733A2" w:rsidP="00BF7317">
            <w:pPr>
              <w:pStyle w:val="Prrafodelista"/>
              <w:numPr>
                <w:ilvl w:val="0"/>
                <w:numId w:val="2"/>
              </w:numPr>
              <w:ind w:left="317" w:hanging="283"/>
              <w:contextualSpacing w:val="0"/>
              <w:rPr>
                <w:rFonts w:ascii="Arial" w:hAnsi="Arial" w:cs="Arial"/>
              </w:rPr>
            </w:pPr>
            <w:r w:rsidRPr="00BF7317">
              <w:rPr>
                <w:rFonts w:ascii="Arial" w:hAnsi="Arial" w:cs="Arial"/>
              </w:rPr>
              <w:t>10</w:t>
            </w:r>
          </w:p>
        </w:tc>
        <w:tc>
          <w:tcPr>
            <w:tcW w:w="2434" w:type="dxa"/>
          </w:tcPr>
          <w:p w:rsidR="00B76340" w:rsidRPr="00E128E3" w:rsidRDefault="00B76340" w:rsidP="009733A2">
            <w:pPr>
              <w:pStyle w:val="Prrafodelista"/>
              <w:numPr>
                <w:ilvl w:val="0"/>
                <w:numId w:val="2"/>
              </w:numPr>
              <w:spacing w:before="120"/>
              <w:ind w:left="113" w:hanging="113"/>
              <w:contextualSpacing w:val="0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 xml:space="preserve">Motivación   </w:t>
            </w:r>
            <w:r w:rsidR="00BF7317">
              <w:rPr>
                <w:rFonts w:ascii="Arial" w:hAnsi="Arial" w:cs="Arial"/>
              </w:rPr>
              <w:t xml:space="preserve">  </w:t>
            </w:r>
            <w:r w:rsidRPr="00E128E3">
              <w:rPr>
                <w:rFonts w:ascii="Arial" w:hAnsi="Arial" w:cs="Arial"/>
              </w:rPr>
              <w:t xml:space="preserve"> </w:t>
            </w:r>
            <w:r w:rsidR="00BF7317">
              <w:rPr>
                <w:rFonts w:ascii="Arial" w:hAnsi="Arial" w:cs="Arial"/>
              </w:rPr>
              <w:t>10</w:t>
            </w:r>
            <w:r w:rsidRPr="00E128E3">
              <w:rPr>
                <w:rFonts w:ascii="Arial" w:hAnsi="Arial" w:cs="Arial"/>
              </w:rPr>
              <w:t>%</w:t>
            </w:r>
          </w:p>
          <w:p w:rsidR="00B76340" w:rsidRPr="00E128E3" w:rsidRDefault="00B76340" w:rsidP="00B76340">
            <w:pPr>
              <w:pStyle w:val="Prrafodelista"/>
              <w:numPr>
                <w:ilvl w:val="0"/>
                <w:numId w:val="2"/>
              </w:numPr>
              <w:ind w:left="113" w:hanging="113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>Pensamiento</w:t>
            </w:r>
            <w:r w:rsidR="00BF7317">
              <w:rPr>
                <w:rFonts w:ascii="Arial" w:hAnsi="Arial" w:cs="Arial"/>
              </w:rPr>
              <w:t xml:space="preserve"> </w:t>
            </w:r>
            <w:r w:rsidRPr="00E128E3">
              <w:rPr>
                <w:rFonts w:ascii="Arial" w:hAnsi="Arial" w:cs="Arial"/>
              </w:rPr>
              <w:t xml:space="preserve">crítico        </w:t>
            </w:r>
            <w:r w:rsidR="00BF7317">
              <w:rPr>
                <w:rFonts w:ascii="Arial" w:hAnsi="Arial" w:cs="Arial"/>
              </w:rPr>
              <w:t xml:space="preserve">     </w:t>
            </w:r>
            <w:r w:rsidRPr="00E128E3">
              <w:rPr>
                <w:rFonts w:ascii="Arial" w:hAnsi="Arial" w:cs="Arial"/>
              </w:rPr>
              <w:t>30%</w:t>
            </w:r>
          </w:p>
          <w:p w:rsidR="00B76340" w:rsidRPr="00E128E3" w:rsidRDefault="00B76340" w:rsidP="00B76340">
            <w:pPr>
              <w:pStyle w:val="Prrafodelista"/>
              <w:numPr>
                <w:ilvl w:val="0"/>
                <w:numId w:val="2"/>
              </w:numPr>
              <w:ind w:left="113" w:hanging="113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 xml:space="preserve">Toma de decisión   </w:t>
            </w:r>
            <w:r w:rsidR="00BF7317">
              <w:rPr>
                <w:rFonts w:ascii="Arial" w:hAnsi="Arial" w:cs="Arial"/>
              </w:rPr>
              <w:t xml:space="preserve">       </w:t>
            </w:r>
            <w:r w:rsidRPr="00E128E3">
              <w:rPr>
                <w:rFonts w:ascii="Arial" w:hAnsi="Arial" w:cs="Arial"/>
              </w:rPr>
              <w:t xml:space="preserve">         </w:t>
            </w:r>
            <w:r w:rsidR="00BF7317">
              <w:rPr>
                <w:rFonts w:ascii="Arial" w:hAnsi="Arial" w:cs="Arial"/>
              </w:rPr>
              <w:t xml:space="preserve">   </w:t>
            </w:r>
            <w:r w:rsidRPr="00E128E3">
              <w:rPr>
                <w:rFonts w:ascii="Arial" w:hAnsi="Arial" w:cs="Arial"/>
              </w:rPr>
              <w:t>20%</w:t>
            </w:r>
          </w:p>
          <w:p w:rsidR="00B76340" w:rsidRPr="00E128E3" w:rsidRDefault="00B76340" w:rsidP="00B76340">
            <w:pPr>
              <w:pStyle w:val="Prrafodelista"/>
              <w:numPr>
                <w:ilvl w:val="0"/>
                <w:numId w:val="2"/>
              </w:numPr>
              <w:ind w:left="113" w:hanging="113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>Trabajo en equipo          10%</w:t>
            </w:r>
          </w:p>
          <w:p w:rsidR="00B76340" w:rsidRPr="00E128E3" w:rsidRDefault="00B76340" w:rsidP="00B76340">
            <w:pPr>
              <w:pStyle w:val="Prrafodelista"/>
              <w:numPr>
                <w:ilvl w:val="0"/>
                <w:numId w:val="2"/>
              </w:numPr>
              <w:ind w:left="113" w:hanging="113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 xml:space="preserve">Participación   10% </w:t>
            </w:r>
          </w:p>
          <w:p w:rsidR="00B76340" w:rsidRPr="00E128E3" w:rsidRDefault="00B76340" w:rsidP="00B76340">
            <w:pPr>
              <w:pStyle w:val="Prrafodelista"/>
              <w:numPr>
                <w:ilvl w:val="0"/>
                <w:numId w:val="2"/>
              </w:numPr>
              <w:ind w:left="113" w:hanging="113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>Conocimiento  20%</w:t>
            </w:r>
          </w:p>
          <w:p w:rsidR="00B76340" w:rsidRPr="00E128E3" w:rsidRDefault="00B76340" w:rsidP="00AB667E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:rsidR="00B76340" w:rsidRPr="00E128E3" w:rsidRDefault="00B76340" w:rsidP="009733A2">
            <w:pPr>
              <w:pStyle w:val="Prrafodelista"/>
              <w:numPr>
                <w:ilvl w:val="0"/>
                <w:numId w:val="2"/>
              </w:numPr>
              <w:spacing w:before="120"/>
              <w:ind w:left="113" w:hanging="113"/>
              <w:contextualSpacing w:val="0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>Separata</w:t>
            </w:r>
          </w:p>
          <w:p w:rsidR="00B76340" w:rsidRPr="00E128E3" w:rsidRDefault="00B76340" w:rsidP="00B76340">
            <w:pPr>
              <w:pStyle w:val="Prrafodelista"/>
              <w:numPr>
                <w:ilvl w:val="0"/>
                <w:numId w:val="2"/>
              </w:numPr>
              <w:ind w:left="113" w:hanging="113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>Papelo</w:t>
            </w:r>
            <w:r w:rsidR="00BF7317">
              <w:rPr>
                <w:rFonts w:ascii="Arial" w:hAnsi="Arial" w:cs="Arial"/>
              </w:rPr>
              <w:t>tes</w:t>
            </w:r>
            <w:r w:rsidRPr="00E128E3">
              <w:rPr>
                <w:rFonts w:ascii="Arial" w:hAnsi="Arial" w:cs="Arial"/>
              </w:rPr>
              <w:t xml:space="preserve"> </w:t>
            </w:r>
          </w:p>
          <w:p w:rsidR="00B76340" w:rsidRPr="00E128E3" w:rsidRDefault="00B76340" w:rsidP="00B76340">
            <w:pPr>
              <w:pStyle w:val="Prrafodelista"/>
              <w:numPr>
                <w:ilvl w:val="0"/>
                <w:numId w:val="2"/>
              </w:numPr>
              <w:ind w:left="113" w:hanging="113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 xml:space="preserve">Proyector multimedia </w:t>
            </w:r>
          </w:p>
          <w:p w:rsidR="00B76340" w:rsidRPr="00E128E3" w:rsidRDefault="00B76340" w:rsidP="00B76340">
            <w:pPr>
              <w:pStyle w:val="Prrafodelista"/>
              <w:numPr>
                <w:ilvl w:val="0"/>
                <w:numId w:val="2"/>
              </w:numPr>
              <w:ind w:left="113" w:hanging="113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 xml:space="preserve">Alumnos </w:t>
            </w:r>
          </w:p>
          <w:p w:rsidR="00B76340" w:rsidRPr="00E128E3" w:rsidRDefault="00B76340" w:rsidP="00B76340">
            <w:pPr>
              <w:pStyle w:val="Prrafodelista"/>
              <w:numPr>
                <w:ilvl w:val="0"/>
                <w:numId w:val="2"/>
              </w:numPr>
              <w:ind w:left="113" w:hanging="113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>Plumones</w:t>
            </w:r>
          </w:p>
          <w:p w:rsidR="00B76340" w:rsidRPr="00E128E3" w:rsidRDefault="00B76340" w:rsidP="00B76340">
            <w:pPr>
              <w:pStyle w:val="Prrafodelista"/>
              <w:numPr>
                <w:ilvl w:val="0"/>
                <w:numId w:val="2"/>
              </w:numPr>
              <w:ind w:left="113" w:hanging="113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 xml:space="preserve"> Cinta </w:t>
            </w:r>
            <w:r w:rsidR="009733A2">
              <w:rPr>
                <w:rFonts w:ascii="Arial" w:hAnsi="Arial" w:cs="Arial"/>
              </w:rPr>
              <w:t>adhesiva</w:t>
            </w:r>
            <w:r w:rsidRPr="00E128E3">
              <w:rPr>
                <w:rFonts w:ascii="Arial" w:hAnsi="Arial" w:cs="Arial"/>
              </w:rPr>
              <w:t xml:space="preserve"> </w:t>
            </w:r>
          </w:p>
          <w:p w:rsidR="00B76340" w:rsidRPr="00E128E3" w:rsidRDefault="00B76340" w:rsidP="00B76340">
            <w:pPr>
              <w:pStyle w:val="Prrafodelista"/>
              <w:numPr>
                <w:ilvl w:val="0"/>
                <w:numId w:val="2"/>
              </w:numPr>
              <w:ind w:left="113" w:hanging="113"/>
              <w:rPr>
                <w:rFonts w:ascii="Arial" w:hAnsi="Arial" w:cs="Arial"/>
              </w:rPr>
            </w:pPr>
            <w:r w:rsidRPr="00E128E3">
              <w:rPr>
                <w:rFonts w:ascii="Arial" w:hAnsi="Arial" w:cs="Arial"/>
              </w:rPr>
              <w:t xml:space="preserve">Otros </w:t>
            </w:r>
          </w:p>
        </w:tc>
      </w:tr>
    </w:tbl>
    <w:p w:rsidR="00B76340" w:rsidRPr="009F4ECE" w:rsidRDefault="00B76340" w:rsidP="009F4ECE">
      <w:pPr>
        <w:ind w:firstLine="284"/>
        <w:jc w:val="both"/>
        <w:rPr>
          <w:sz w:val="18"/>
        </w:rPr>
      </w:pPr>
    </w:p>
    <w:sectPr w:rsidR="00B76340" w:rsidRPr="009F4ECE" w:rsidSect="008D3D2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01333"/>
    <w:multiLevelType w:val="hybridMultilevel"/>
    <w:tmpl w:val="98AA3988"/>
    <w:lvl w:ilvl="0" w:tplc="981002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01665"/>
    <w:multiLevelType w:val="hybridMultilevel"/>
    <w:tmpl w:val="ACDC1388"/>
    <w:lvl w:ilvl="0" w:tplc="3E662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FC"/>
    <w:rsid w:val="000A356C"/>
    <w:rsid w:val="001323C6"/>
    <w:rsid w:val="001B1D1C"/>
    <w:rsid w:val="00317B29"/>
    <w:rsid w:val="003E1396"/>
    <w:rsid w:val="00437FD5"/>
    <w:rsid w:val="0065229D"/>
    <w:rsid w:val="00657C24"/>
    <w:rsid w:val="00696BFC"/>
    <w:rsid w:val="007D69FE"/>
    <w:rsid w:val="0086698C"/>
    <w:rsid w:val="008913D8"/>
    <w:rsid w:val="008B0AF1"/>
    <w:rsid w:val="008D3D2E"/>
    <w:rsid w:val="009733A2"/>
    <w:rsid w:val="009E347A"/>
    <w:rsid w:val="009F4ECE"/>
    <w:rsid w:val="00B6781E"/>
    <w:rsid w:val="00B76340"/>
    <w:rsid w:val="00BB540F"/>
    <w:rsid w:val="00BF7317"/>
    <w:rsid w:val="00D8614C"/>
    <w:rsid w:val="00E57956"/>
    <w:rsid w:val="00F5676C"/>
    <w:rsid w:val="00FD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597E7-C9E7-4AD1-B242-A1B0CBA4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10">
    <w:name w:val="Pa10"/>
    <w:basedOn w:val="Normal"/>
    <w:next w:val="Normal"/>
    <w:uiPriority w:val="99"/>
    <w:rsid w:val="008913D8"/>
    <w:pPr>
      <w:autoSpaceDE w:val="0"/>
      <w:autoSpaceDN w:val="0"/>
      <w:adjustRightInd w:val="0"/>
      <w:spacing w:line="221" w:lineRule="atLeast"/>
    </w:pPr>
    <w:rPr>
      <w:rFonts w:eastAsiaTheme="minorHAnsi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BB540F"/>
    <w:pPr>
      <w:ind w:left="720"/>
      <w:contextualSpacing/>
    </w:pPr>
  </w:style>
  <w:style w:type="character" w:styleId="Hipervnculo">
    <w:name w:val="Hyperlink"/>
    <w:uiPriority w:val="99"/>
    <w:rsid w:val="00F5676C"/>
    <w:rPr>
      <w:color w:val="0000FF"/>
      <w:u w:val="single"/>
    </w:rPr>
  </w:style>
  <w:style w:type="character" w:customStyle="1" w:styleId="titularpdf">
    <w:name w:val="titular_pdf"/>
    <w:basedOn w:val="Fuentedeprrafopredeter"/>
    <w:rsid w:val="00F5676C"/>
  </w:style>
  <w:style w:type="character" w:customStyle="1" w:styleId="tituloverde">
    <w:name w:val="tituloverde"/>
    <w:basedOn w:val="Fuentedeprrafopredeter"/>
    <w:rsid w:val="00F5676C"/>
  </w:style>
  <w:style w:type="table" w:styleId="Tablaconcuadrcula">
    <w:name w:val="Table Grid"/>
    <w:basedOn w:val="Tablanormal"/>
    <w:uiPriority w:val="39"/>
    <w:rsid w:val="00B76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1341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USER</cp:lastModifiedBy>
  <cp:revision>15</cp:revision>
  <dcterms:created xsi:type="dcterms:W3CDTF">2017-05-15T01:32:00Z</dcterms:created>
  <dcterms:modified xsi:type="dcterms:W3CDTF">2017-05-16T23:13:00Z</dcterms:modified>
</cp:coreProperties>
</file>