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DD" w:rsidRPr="00ED62DD" w:rsidRDefault="00ED62DD" w:rsidP="00ED62DD">
      <w:pPr>
        <w:jc w:val="center"/>
        <w:rPr>
          <w:b/>
        </w:rPr>
      </w:pPr>
      <w:r w:rsidRPr="00ED62DD">
        <w:rPr>
          <w:b/>
        </w:rPr>
        <w:t>CLASIFICACIÓN DE LOS ESTÁNDARES</w:t>
      </w:r>
    </w:p>
    <w:p w:rsidR="00ED62DD" w:rsidRDefault="00ED62DD" w:rsidP="00ED62DD"/>
    <w:p w:rsidR="00ED62DD" w:rsidRDefault="00ED62DD" w:rsidP="00ED62DD">
      <w:r>
        <w:t>Como lo describe (Rebolledo, 2004), en cuanto a los estándares se identifican las siguientes categorías:</w:t>
      </w:r>
    </w:p>
    <w:p w:rsidR="00ED62DD" w:rsidRDefault="00ED62DD" w:rsidP="00ED62DD"/>
    <w:p w:rsidR="00ED62DD" w:rsidRDefault="00ED62DD" w:rsidP="00ED62DD">
      <w:r>
        <w:t xml:space="preserve">a. </w:t>
      </w:r>
      <w:r w:rsidRPr="00ED62DD">
        <w:rPr>
          <w:b/>
        </w:rPr>
        <w:t>Centrados en el contenido</w:t>
      </w:r>
      <w:r>
        <w:t>: Se refieren a especificaciones y estándares relacionados con el contenido (cursos, asignaturas, etc.) Las especificaciones y los estándares en esta categoría, establecen las pautas para describir, empaquetar, entregar, ejecutar y auditar contenidos por los diferentes sistemas. Entre los más representativos se destacan:</w:t>
      </w:r>
    </w:p>
    <w:p w:rsidR="00ED62DD" w:rsidRDefault="00ED62DD" w:rsidP="00ED62DD"/>
    <w:p w:rsidR="00ED62DD" w:rsidRDefault="00ED62DD" w:rsidP="00ED62DD">
      <w:pPr>
        <w:ind w:firstLine="0"/>
      </w:pPr>
      <w:r>
        <w:t>SCORM, desarrollado de una colección de especificaciones</w:t>
      </w:r>
      <w:r>
        <w:t>. Es un modelo, no un estándar.</w:t>
      </w:r>
    </w:p>
    <w:p w:rsidR="00ED62DD" w:rsidRDefault="00ED62DD" w:rsidP="00ED62DD">
      <w:pPr>
        <w:ind w:firstLine="0"/>
      </w:pPr>
      <w:r>
        <w:t xml:space="preserve">AICC proporciona la posibilidad de </w:t>
      </w:r>
      <w:r>
        <w:t>utilizar gráficos inteligentes.</w:t>
      </w:r>
    </w:p>
    <w:p w:rsidR="00ED62DD" w:rsidRDefault="00ED62DD" w:rsidP="00ED62DD">
      <w:pPr>
        <w:ind w:firstLine="0"/>
      </w:pPr>
      <w:r>
        <w:t>ASTD se cent</w:t>
      </w:r>
      <w:r>
        <w:t>ra en la calidad del contenido.</w:t>
      </w:r>
    </w:p>
    <w:p w:rsidR="00ED62DD" w:rsidRDefault="00ED62DD" w:rsidP="00ED62DD">
      <w:pPr>
        <w:ind w:firstLine="0"/>
      </w:pPr>
      <w:proofErr w:type="spellStart"/>
      <w:r>
        <w:t>CanCore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Metadata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Profile</w:t>
      </w:r>
      <w:proofErr w:type="spellEnd"/>
      <w:r>
        <w:t>. Promueve mejores prácticas en la elaboración de contenidos para ser utilizados en la educación</w:t>
      </w:r>
      <w:r>
        <w:t xml:space="preserve">  </w:t>
      </w:r>
      <w:r>
        <w:t xml:space="preserve"> (http://cancore.athabascau.ca/en/).</w:t>
      </w:r>
    </w:p>
    <w:p w:rsidR="00ED62DD" w:rsidRDefault="00ED62DD" w:rsidP="00ED62DD">
      <w:pPr>
        <w:ind w:firstLine="0"/>
      </w:pPr>
      <w:r>
        <w:t xml:space="preserve">IEEE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Metadata</w:t>
      </w:r>
      <w:proofErr w:type="spellEnd"/>
      <w:r>
        <w:t xml:space="preserve"> (LOM).</w:t>
      </w:r>
      <w:r>
        <w:t xml:space="preserve"> Cataloga objetos de contenido.</w:t>
      </w:r>
    </w:p>
    <w:p w:rsidR="00ED62DD" w:rsidRDefault="00ED62DD" w:rsidP="00ED62DD">
      <w:pPr>
        <w:ind w:firstLine="0"/>
      </w:pPr>
      <w:r>
        <w:t>IEEE CMI (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). Describe que información se debe comunicar</w:t>
      </w:r>
      <w:r>
        <w:t xml:space="preserve"> a una plataforma de formación.</w:t>
      </w:r>
    </w:p>
    <w:p w:rsidR="00ED62DD" w:rsidRDefault="00ED62DD" w:rsidP="00ED62DD">
      <w:pPr>
        <w:ind w:firstLine="0"/>
      </w:pPr>
      <w:r>
        <w:t xml:space="preserve">IMS </w:t>
      </w:r>
      <w:proofErr w:type="spellStart"/>
      <w:r>
        <w:t>Accessibility</w:t>
      </w:r>
      <w:proofErr w:type="spellEnd"/>
      <w:r>
        <w:t xml:space="preserve"> Content. El grupo de trabajo de IMS sobre accesibilidad, proporciona contenidos educativos accesibles, siguiendo guías y recomendaciones de otras instituciones.</w:t>
      </w:r>
    </w:p>
    <w:p w:rsidR="00ED62DD" w:rsidRDefault="00ED62DD" w:rsidP="00ED62DD"/>
    <w:p w:rsidR="00ED62DD" w:rsidRDefault="00ED62DD" w:rsidP="00ED62DD">
      <w:pPr>
        <w:ind w:firstLine="0"/>
      </w:pPr>
      <w:r>
        <w:t xml:space="preserve">b. </w:t>
      </w:r>
      <w:r w:rsidRPr="00ED62DD">
        <w:rPr>
          <w:b/>
        </w:rPr>
        <w:t>Centrados en el estudiante</w:t>
      </w:r>
      <w:r>
        <w:t>: Especificaciones y estándares orientados al estudiante, los cuales incluye:</w:t>
      </w:r>
    </w:p>
    <w:p w:rsidR="00ED62DD" w:rsidRDefault="00ED62DD" w:rsidP="00ED62DD"/>
    <w:p w:rsidR="00ED62DD" w:rsidRDefault="00ED62DD" w:rsidP="00ED62DD">
      <w:pPr>
        <w:ind w:firstLine="0"/>
      </w:pPr>
      <w:r>
        <w:t>HR-XML: especificaciones para las competencias del estudiante.</w:t>
      </w:r>
    </w:p>
    <w:p w:rsidR="00ED62DD" w:rsidRDefault="00ED62DD" w:rsidP="00ED62DD">
      <w:pPr>
        <w:ind w:firstLine="0"/>
      </w:pPr>
      <w:r>
        <w:t xml:space="preserve">IMS </w:t>
      </w:r>
      <w:proofErr w:type="spellStart"/>
      <w:r>
        <w:t>Learner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>. Facilita el intercambio de aprendizaje entre sistemas.</w:t>
      </w:r>
    </w:p>
    <w:p w:rsidR="00ED62DD" w:rsidRDefault="00ED62DD" w:rsidP="00ED62DD">
      <w:pPr>
        <w:ind w:firstLine="0"/>
      </w:pPr>
      <w:r>
        <w:t xml:space="preserve">IMS Reusable </w:t>
      </w:r>
      <w:proofErr w:type="spellStart"/>
      <w:r>
        <w:t>Competency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>. Basado en competencias del estudiante.</w:t>
      </w:r>
    </w:p>
    <w:p w:rsidR="00ED62DD" w:rsidRDefault="00ED62DD" w:rsidP="00ED62DD">
      <w:pPr>
        <w:ind w:firstLine="0"/>
      </w:pPr>
      <w:r>
        <w:t xml:space="preserve">SC36 </w:t>
      </w:r>
      <w:proofErr w:type="spellStart"/>
      <w:r>
        <w:t>Learner</w:t>
      </w:r>
      <w:proofErr w:type="spellEnd"/>
      <w:r>
        <w:t xml:space="preserve"> </w:t>
      </w:r>
      <w:proofErr w:type="spellStart"/>
      <w:r>
        <w:t>Model</w:t>
      </w:r>
      <w:proofErr w:type="spellEnd"/>
      <w:r>
        <w:t>. Información relativa al estudiante.</w:t>
      </w:r>
    </w:p>
    <w:p w:rsidR="00ED62DD" w:rsidRDefault="00ED62DD" w:rsidP="00ED62DD"/>
    <w:p w:rsidR="00ED62DD" w:rsidRDefault="00ED62DD" w:rsidP="00ED62DD">
      <w:r>
        <w:t xml:space="preserve">c. </w:t>
      </w:r>
      <w:r w:rsidRPr="00ED62DD">
        <w:rPr>
          <w:b/>
        </w:rPr>
        <w:t>Centrados en los sistemas</w:t>
      </w:r>
      <w:r>
        <w:t xml:space="preserve">: Son estándares para la </w:t>
      </w:r>
      <w:r>
        <w:t>interoperabilidad</w:t>
      </w:r>
      <w:r>
        <w:t xml:space="preserve"> de plataformas, dentr</w:t>
      </w:r>
      <w:r>
        <w:t>o de las cuales se identifican:</w:t>
      </w:r>
    </w:p>
    <w:p w:rsidR="00ED62DD" w:rsidRDefault="00ED62DD" w:rsidP="00ED62DD">
      <w:pPr>
        <w:ind w:firstLine="0"/>
      </w:pPr>
      <w:r>
        <w:t xml:space="preserve">IMS Digital </w:t>
      </w:r>
      <w:proofErr w:type="spellStart"/>
      <w:r>
        <w:t>Repository</w:t>
      </w:r>
      <w:proofErr w:type="spellEnd"/>
      <w:r>
        <w:t xml:space="preserve"> </w:t>
      </w:r>
      <w:proofErr w:type="spellStart"/>
      <w:r>
        <w:t>Interoperability</w:t>
      </w:r>
      <w:proofErr w:type="spellEnd"/>
      <w:r>
        <w:t>. Recomendaciones para la interoperación de repositorios digitales.</w:t>
      </w:r>
    </w:p>
    <w:p w:rsidR="00ED62DD" w:rsidRDefault="00ED62DD" w:rsidP="00ED62DD">
      <w:r>
        <w:t xml:space="preserve">IMS Enterprise </w:t>
      </w:r>
      <w:proofErr w:type="spellStart"/>
      <w:r>
        <w:t>System</w:t>
      </w:r>
      <w:proofErr w:type="spellEnd"/>
      <w:r>
        <w:t>. Especificaciones para el intercambio de información entre los sistemas de recursos humanos o el control de estudio</w:t>
      </w:r>
      <w:r>
        <w:t>s y las plataformas e-</w:t>
      </w:r>
      <w:proofErr w:type="spellStart"/>
      <w:r>
        <w:t>learning</w:t>
      </w:r>
      <w:proofErr w:type="spellEnd"/>
      <w:r>
        <w:t>.</w:t>
      </w:r>
    </w:p>
    <w:p w:rsidR="00ED62DD" w:rsidRDefault="00ED62DD" w:rsidP="00ED62DD">
      <w:pPr>
        <w:ind w:firstLine="0"/>
      </w:pPr>
      <w:r>
        <w:t xml:space="preserve">SC36 </w:t>
      </w:r>
      <w:proofErr w:type="spellStart"/>
      <w:r>
        <w:t>Identifiers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 Para identificar diferentes estudiantes en diferentes sistemas.</w:t>
      </w:r>
    </w:p>
    <w:p w:rsidR="00ED62DD" w:rsidRDefault="00ED62DD" w:rsidP="00ED62DD">
      <w:pPr>
        <w:ind w:firstLine="0"/>
      </w:pPr>
      <w:r>
        <w:t xml:space="preserve">SC36 </w:t>
      </w:r>
      <w:proofErr w:type="spellStart"/>
      <w:r>
        <w:t>Knowledge</w:t>
      </w:r>
      <w:proofErr w:type="spellEnd"/>
      <w:r>
        <w:t xml:space="preserve"> Management. Especificaciones para la gestión y la distribución del conocimiento vía la tecnología e-</w:t>
      </w:r>
      <w:proofErr w:type="spellStart"/>
      <w:r>
        <w:t>learning</w:t>
      </w:r>
      <w:proofErr w:type="spellEnd"/>
      <w:r>
        <w:t>.</w:t>
      </w:r>
    </w:p>
    <w:p w:rsidR="00ED62DD" w:rsidRDefault="00ED62DD" w:rsidP="00ED62DD">
      <w:pPr>
        <w:ind w:firstLine="0"/>
      </w:pPr>
      <w:r>
        <w:t xml:space="preserve">IMS </w:t>
      </w:r>
      <w:proofErr w:type="spellStart"/>
      <w:r>
        <w:t>Question</w:t>
      </w:r>
      <w:proofErr w:type="spellEnd"/>
      <w:r>
        <w:t xml:space="preserve"> and Test </w:t>
      </w:r>
      <w:proofErr w:type="spellStart"/>
      <w:r>
        <w:t>Interoperability</w:t>
      </w:r>
      <w:proofErr w:type="spellEnd"/>
      <w:r>
        <w:t xml:space="preserve">. El IMS QTI propone una estructura de datos XML para codificar preguntas y test online. El objetivo de esta especificación es permitir el intercambio de estos </w:t>
      </w:r>
      <w:proofErr w:type="spellStart"/>
      <w:r>
        <w:t>tests</w:t>
      </w:r>
      <w:proofErr w:type="spellEnd"/>
      <w:r>
        <w:t xml:space="preserve"> y datos de evaluación entre distintas plataformas.</w:t>
      </w:r>
    </w:p>
    <w:p w:rsidR="00ED62DD" w:rsidRDefault="00ED62DD" w:rsidP="00ED62DD"/>
    <w:p w:rsidR="00ED62DD" w:rsidRDefault="00ED62DD" w:rsidP="00ED62DD">
      <w:r>
        <w:lastRenderedPageBreak/>
        <w:t xml:space="preserve">d. </w:t>
      </w:r>
      <w:r w:rsidRPr="00ED62DD">
        <w:rPr>
          <w:b/>
        </w:rPr>
        <w:t>Generales</w:t>
      </w:r>
      <w:r>
        <w:t>: Existen algunos estándares de carácter general entre los que se encuentran:</w:t>
      </w:r>
    </w:p>
    <w:p w:rsidR="00ED62DD" w:rsidRDefault="00ED62DD" w:rsidP="00ED62DD"/>
    <w:p w:rsidR="00ED62DD" w:rsidRDefault="00ED62DD" w:rsidP="00ED62DD">
      <w:pPr>
        <w:ind w:firstLine="0"/>
      </w:pPr>
      <w:r>
        <w:t xml:space="preserve">CEN/ISSS </w:t>
      </w:r>
      <w:proofErr w:type="spellStart"/>
      <w:r>
        <w:t>Workshop</w:t>
      </w:r>
      <w:proofErr w:type="spellEnd"/>
      <w:r>
        <w:t>. Localiza versiones de LOM, calidad, condiciones de derechos de autor, accesibilidad, arquitectura de plataformas y mucho más. Es un comité de estandarización europeo.</w:t>
      </w:r>
    </w:p>
    <w:p w:rsidR="00ED62DD" w:rsidRDefault="00ED62DD" w:rsidP="00ED62DD">
      <w:pPr>
        <w:ind w:firstLine="0"/>
      </w:pPr>
      <w:r>
        <w:t xml:space="preserve">IEEE </w:t>
      </w:r>
      <w:proofErr w:type="spellStart"/>
      <w:r>
        <w:t>Platform</w:t>
      </w:r>
      <w:proofErr w:type="spellEnd"/>
      <w:r>
        <w:t xml:space="preserve"> and Media </w:t>
      </w:r>
      <w:proofErr w:type="spellStart"/>
      <w:r>
        <w:t>Profiles</w:t>
      </w:r>
      <w:proofErr w:type="spellEnd"/>
      <w:r>
        <w:t xml:space="preserve"> Es un comité perteneciente al IEEE SC36 que trabaja para generar perfiles para sistemas de e-</w:t>
      </w:r>
      <w:proofErr w:type="spellStart"/>
      <w:r>
        <w:t>learning</w:t>
      </w:r>
      <w:proofErr w:type="spellEnd"/>
      <w:r>
        <w:t xml:space="preserve"> que recolecten una serie de funcionalidades para luego poder incorporarlas fácilmente a sus herramientas.</w:t>
      </w:r>
    </w:p>
    <w:p w:rsidR="00ED62DD" w:rsidRDefault="00ED62DD" w:rsidP="00ED62DD">
      <w:pPr>
        <w:ind w:firstLine="0"/>
      </w:pPr>
      <w:r>
        <w:t xml:space="preserve">SC36 </w:t>
      </w:r>
      <w:proofErr w:type="spellStart"/>
      <w:r>
        <w:t>Vocabulary</w:t>
      </w:r>
      <w:proofErr w:type="spellEnd"/>
      <w:r>
        <w:t>. Define la terminología relacionada con la estandarización para el ISO/IEC JTC1 SC36 y para toda la tecnología desarrollada por sus comités y grupos de trabajo.</w:t>
      </w:r>
    </w:p>
    <w:p w:rsidR="00ED62DD" w:rsidRDefault="00ED62DD" w:rsidP="00ED62DD">
      <w:pPr>
        <w:ind w:firstLine="0"/>
      </w:pPr>
      <w:r>
        <w:t xml:space="preserve">SC36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. Estandarización relacionada con las TI para la colaboración y para todas las tecnologías que le dan soporte.</w:t>
      </w:r>
    </w:p>
    <w:p w:rsidR="00D30831" w:rsidRDefault="00ED62DD" w:rsidP="00ED62DD">
      <w:pPr>
        <w:ind w:firstLine="0"/>
      </w:pPr>
      <w:r w:rsidRPr="00ED62DD">
        <w:t>http://www.scielo.br/scielo.php?script=s</w:t>
      </w:r>
      <w:bookmarkStart w:id="0" w:name="_GoBack"/>
      <w:bookmarkEnd w:id="0"/>
      <w:r w:rsidRPr="00ED62DD">
        <w:t>ci_arttext&amp;pid=S1807-17752014000300677</w:t>
      </w:r>
    </w:p>
    <w:sectPr w:rsidR="00D30831" w:rsidSect="00ED62DD">
      <w:type w:val="continuous"/>
      <w:pgSz w:w="15840" w:h="12240" w:orient="landscape" w:code="1"/>
      <w:pgMar w:top="1418" w:right="1418" w:bottom="1418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DD"/>
    <w:rsid w:val="001E2616"/>
    <w:rsid w:val="003B3D2D"/>
    <w:rsid w:val="003C04AA"/>
    <w:rsid w:val="00411F0A"/>
    <w:rsid w:val="00724EB1"/>
    <w:rsid w:val="00840D34"/>
    <w:rsid w:val="00856AA5"/>
    <w:rsid w:val="008B5540"/>
    <w:rsid w:val="009B223F"/>
    <w:rsid w:val="009C0C89"/>
    <w:rsid w:val="00A5503B"/>
    <w:rsid w:val="00A745D4"/>
    <w:rsid w:val="00BC3D3F"/>
    <w:rsid w:val="00D26BA3"/>
    <w:rsid w:val="00D30831"/>
    <w:rsid w:val="00D92839"/>
    <w:rsid w:val="00D961C9"/>
    <w:rsid w:val="00E269F8"/>
    <w:rsid w:val="00E63F92"/>
    <w:rsid w:val="00E9081A"/>
    <w:rsid w:val="00E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955189-FAC1-4F6F-8D1A-048C297A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line="480" w:lineRule="auto"/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83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5540"/>
    <w:pPr>
      <w:keepNext/>
      <w:keepLines/>
      <w:spacing w:line="360" w:lineRule="auto"/>
      <w:ind w:firstLine="0"/>
      <w:jc w:val="center"/>
      <w:outlineLvl w:val="0"/>
    </w:pPr>
    <w:rPr>
      <w:rFonts w:ascii="Arial" w:eastAsiaTheme="majorEastAsia" w:hAnsi="Arial" w:cs="Tahoma"/>
      <w:b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961C9"/>
    <w:pPr>
      <w:keepNext/>
      <w:keepLines/>
      <w:spacing w:before="40" w:line="276" w:lineRule="auto"/>
      <w:ind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3D2D"/>
    <w:pPr>
      <w:keepNext/>
      <w:keepLines/>
      <w:spacing w:before="200" w:line="240" w:lineRule="auto"/>
      <w:outlineLvl w:val="2"/>
    </w:pPr>
    <w:rPr>
      <w:rFonts w:eastAsiaTheme="majorEastAsia" w:cstheme="majorBidi"/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B3D2D"/>
    <w:pPr>
      <w:keepNext/>
      <w:keepLines/>
      <w:spacing w:before="200" w:line="240" w:lineRule="auto"/>
      <w:outlineLvl w:val="4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540"/>
    <w:rPr>
      <w:rFonts w:ascii="Arial" w:eastAsiaTheme="majorEastAsia" w:hAnsi="Arial" w:cs="Tahoma"/>
      <w:b/>
    </w:rPr>
  </w:style>
  <w:style w:type="character" w:customStyle="1" w:styleId="Ttulo2Car">
    <w:name w:val="Título 2 Car"/>
    <w:basedOn w:val="Fuentedeprrafopredeter"/>
    <w:link w:val="Ttulo2"/>
    <w:uiPriority w:val="9"/>
    <w:rsid w:val="00D961C9"/>
    <w:rPr>
      <w:rFonts w:eastAsiaTheme="majorEastAsia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B3D2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3B3D2D"/>
    <w:rPr>
      <w:rFonts w:ascii="Times New Roman" w:eastAsiaTheme="majorEastAsia" w:hAnsi="Times New Roman" w:cstheme="majorBidi"/>
      <w:sz w:val="24"/>
    </w:rPr>
  </w:style>
  <w:style w:type="paragraph" w:customStyle="1" w:styleId="prrafo">
    <w:name w:val="párrafo"/>
    <w:basedOn w:val="Normal"/>
    <w:qFormat/>
    <w:rsid w:val="00724EB1"/>
    <w:pPr>
      <w:spacing w:line="240" w:lineRule="auto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3C39-415C-4FE1-AD6C-D8DBA814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Cárdenas</dc:creator>
  <cp:keywords/>
  <dc:description/>
  <cp:lastModifiedBy>Sofía Cárdenas</cp:lastModifiedBy>
  <cp:revision>1</cp:revision>
  <dcterms:created xsi:type="dcterms:W3CDTF">2017-10-28T23:08:00Z</dcterms:created>
  <dcterms:modified xsi:type="dcterms:W3CDTF">2017-10-28T23:15:00Z</dcterms:modified>
</cp:coreProperties>
</file>