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E85" w:rsidRDefault="00832E85">
      <w:r>
        <w:t>Asociaciones conceptuales del Capítulo 13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31"/>
        <w:gridCol w:w="6236"/>
      </w:tblGrid>
      <w:tr w:rsidR="00832E85" w:rsidTr="00832E85">
        <w:tc>
          <w:tcPr>
            <w:tcW w:w="2831" w:type="dxa"/>
          </w:tcPr>
          <w:p w:rsidR="00832E85" w:rsidRDefault="00832E85" w:rsidP="00FF55F0">
            <w:r>
              <w:t>Objetivos</w:t>
            </w:r>
          </w:p>
        </w:tc>
        <w:tc>
          <w:tcPr>
            <w:tcW w:w="6236" w:type="dxa"/>
          </w:tcPr>
          <w:p w:rsidR="00832E85" w:rsidRDefault="00832E85" w:rsidP="00FF55F0">
            <w:r>
              <w:t>Resumen</w:t>
            </w:r>
          </w:p>
        </w:tc>
      </w:tr>
      <w:tr w:rsidR="00832E85" w:rsidTr="00832E85">
        <w:tc>
          <w:tcPr>
            <w:tcW w:w="2831" w:type="dxa"/>
          </w:tcPr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color w:val="404040"/>
                <w:sz w:val="20"/>
                <w:szCs w:val="20"/>
              </w:rPr>
            </w:pPr>
            <w:r>
              <w:rPr>
                <w:rFonts w:ascii="TradeGothicLTStd" w:hAnsi="TradeGothicLTStd" w:cs="TradeGothicLTStd"/>
                <w:color w:val="FF7A40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>Conocer</w:t>
            </w:r>
            <w:proofErr w:type="gramEnd"/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 xml:space="preserve"> el proceso de selección de la muestra en la investigación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color w:val="404040"/>
                <w:sz w:val="20"/>
                <w:szCs w:val="20"/>
              </w:rPr>
            </w:pPr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>cualitativa.</w:t>
            </w:r>
          </w:p>
          <w:p w:rsidR="00832E85" w:rsidRPr="005617E9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color w:val="404040"/>
                <w:sz w:val="20"/>
                <w:szCs w:val="20"/>
              </w:rPr>
            </w:pPr>
          </w:p>
        </w:tc>
        <w:tc>
          <w:tcPr>
            <w:tcW w:w="6236" w:type="dxa"/>
          </w:tcPr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• Durante la inmersión inicial o después de ésta, se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define la muestra.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• En los estudios cualitativos el tamaño de muestra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-Obl" w:hAnsi="TradeGothicLTStd-Obl" w:cs="TradeGothicLTStd-Obl"/>
                <w:sz w:val="19"/>
                <w:szCs w:val="19"/>
              </w:rPr>
              <w:t xml:space="preserve">no </w:t>
            </w:r>
            <w:r>
              <w:rPr>
                <w:rFonts w:ascii="TradeGothicLTStd" w:hAnsi="TradeGothicLTStd" w:cs="TradeGothicLTStd"/>
                <w:sz w:val="19"/>
                <w:szCs w:val="19"/>
              </w:rPr>
              <w:t>es importante desde una perspectiva probabilística,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 xml:space="preserve">pues el interés del investigador </w:t>
            </w:r>
            <w:r>
              <w:rPr>
                <w:rFonts w:ascii="TradeGothicLTStd-Obl" w:hAnsi="TradeGothicLTStd-Obl" w:cs="TradeGothicLTStd-Obl"/>
                <w:sz w:val="19"/>
                <w:szCs w:val="19"/>
              </w:rPr>
              <w:t xml:space="preserve">no </w:t>
            </w:r>
            <w:r>
              <w:rPr>
                <w:rFonts w:ascii="TradeGothicLTStd" w:hAnsi="TradeGothicLTStd" w:cs="TradeGothicLTStd"/>
                <w:sz w:val="19"/>
                <w:szCs w:val="19"/>
              </w:rPr>
              <w:t>es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generalizar los resultados de su estudio a una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población más amplia.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</w:pPr>
          </w:p>
        </w:tc>
      </w:tr>
      <w:tr w:rsidR="00832E85" w:rsidTr="00832E85">
        <w:tc>
          <w:tcPr>
            <w:tcW w:w="2831" w:type="dxa"/>
          </w:tcPr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color w:val="404040"/>
                <w:sz w:val="20"/>
                <w:szCs w:val="20"/>
              </w:rPr>
            </w:pPr>
            <w:r>
              <w:rPr>
                <w:rFonts w:ascii="TradeGothicLTStd" w:hAnsi="TradeGothicLTStd" w:cs="TradeGothicLTStd"/>
                <w:color w:val="FF7A40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>Comprender</w:t>
            </w:r>
            <w:proofErr w:type="gramEnd"/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 xml:space="preserve"> los conceptos esenciales vinculados con la unidad de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color w:val="404040"/>
                <w:sz w:val="20"/>
                <w:szCs w:val="20"/>
              </w:rPr>
            </w:pPr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>análisis y la muestra en estudios cualitativos.</w:t>
            </w:r>
          </w:p>
          <w:p w:rsidR="00832E85" w:rsidRPr="005617E9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color w:val="404040"/>
                <w:sz w:val="20"/>
                <w:szCs w:val="20"/>
              </w:rPr>
            </w:pPr>
          </w:p>
        </w:tc>
        <w:tc>
          <w:tcPr>
            <w:tcW w:w="6236" w:type="dxa"/>
          </w:tcPr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• Tres son los factores que intervienen para “determinar”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o sugerir el número de casos que compondrán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la muestra: 1) capacidad operativa de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recolección y análisis, 2) el entendimiento del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fenómeno o saturación de categorías y 3) la naturaleza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del fenómeno bajo análisis.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• En una investigación cualitativa la muestra puede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contener cierto tipo definido de unidades iniciales,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pero conforme avanza el estudio se pueden ir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agregando otros tipos de unidades.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• En un estudio cualitativo se pueden tener unidades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cuya naturaleza es diferente.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• En el muestreo cualitativo es usual comenzar con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la identificación de ambientes propicios, luego de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grupos y, finalmente, de individuos.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• La investigación cualitativa, por sus características,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requiere de muestras más flexibles.</w:t>
            </w:r>
          </w:p>
          <w:p w:rsidR="00832E85" w:rsidRDefault="00832E85" w:rsidP="00832E85"/>
        </w:tc>
      </w:tr>
      <w:tr w:rsidR="00832E85" w:rsidTr="00832E85">
        <w:tc>
          <w:tcPr>
            <w:tcW w:w="2831" w:type="dxa"/>
          </w:tcPr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color w:val="404040"/>
                <w:sz w:val="20"/>
                <w:szCs w:val="20"/>
              </w:rPr>
            </w:pPr>
            <w:r>
              <w:rPr>
                <w:rFonts w:ascii="TradeGothicLTStd" w:hAnsi="TradeGothicLTStd" w:cs="TradeGothicLTStd"/>
                <w:color w:val="FF7A40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>Entender</w:t>
            </w:r>
            <w:proofErr w:type="gramEnd"/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 xml:space="preserve"> los diferentes tipos de muestras no probabilísticas o dirigidas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color w:val="404040"/>
                <w:sz w:val="20"/>
                <w:szCs w:val="20"/>
              </w:rPr>
            </w:pPr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>y tener elementos para decidir en cada investigación, cuál es el tipo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color w:val="404040"/>
                <w:sz w:val="20"/>
                <w:szCs w:val="20"/>
              </w:rPr>
            </w:pPr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>apropiado de muestra de acuerdo con las condiciones que se presenten</w:t>
            </w:r>
          </w:p>
          <w:p w:rsidR="00832E85" w:rsidRPr="005617E9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color w:val="404040"/>
                <w:sz w:val="20"/>
                <w:szCs w:val="20"/>
              </w:rPr>
            </w:pPr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>durante su desarrollo.</w:t>
            </w:r>
          </w:p>
        </w:tc>
        <w:tc>
          <w:tcPr>
            <w:tcW w:w="6236" w:type="dxa"/>
          </w:tcPr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• Las muestras dirigidas son de varias clases: 1)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muestra de sujetos voluntarios, 2) muestra de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expertos, 3) muestra de casos-tipo, 4) muestreo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por cuotas y 5) muestras de orientación hacia la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investigación cualitativa (muestra variada, variada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homogénea, muestra por cadena, muestra de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casos extremos, muestras por oportunidad, muestra</w:t>
            </w:r>
          </w:p>
          <w:p w:rsidR="00832E85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 xml:space="preserve">teórica, muestra </w:t>
            </w:r>
            <w:proofErr w:type="spellStart"/>
            <w:r>
              <w:rPr>
                <w:rFonts w:ascii="TradeGothicLTStd" w:hAnsi="TradeGothicLTStd" w:cs="TradeGothicLTStd"/>
                <w:sz w:val="19"/>
                <w:szCs w:val="19"/>
              </w:rPr>
              <w:t>confi</w:t>
            </w:r>
            <w:proofErr w:type="spellEnd"/>
            <w:r>
              <w:rPr>
                <w:rFonts w:ascii="TradeGothicLTStd" w:hAnsi="TradeGothicLTStd" w:cs="TradeGothicLTStd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radeGothicLTStd" w:hAnsi="TradeGothicLTStd" w:cs="TradeGothicLTStd"/>
                <w:sz w:val="19"/>
                <w:szCs w:val="19"/>
              </w:rPr>
              <w:t>rmativa</w:t>
            </w:r>
            <w:proofErr w:type="spellEnd"/>
            <w:r>
              <w:rPr>
                <w:rFonts w:ascii="TradeGothicLTStd" w:hAnsi="TradeGothicLTStd" w:cs="TradeGothicLTStd"/>
                <w:sz w:val="19"/>
                <w:szCs w:val="19"/>
              </w:rPr>
              <w:t>, muestra de</w:t>
            </w:r>
          </w:p>
          <w:p w:rsidR="00832E85" w:rsidRDefault="00832E85" w:rsidP="00832E85">
            <w:r>
              <w:rPr>
                <w:rFonts w:ascii="TradeGothicLTStd" w:hAnsi="TradeGothicLTStd" w:cs="TradeGothicLTStd"/>
                <w:sz w:val="19"/>
                <w:szCs w:val="19"/>
              </w:rPr>
              <w:t>casos importantes y muestra por conveniencia).</w:t>
            </w:r>
          </w:p>
        </w:tc>
      </w:tr>
    </w:tbl>
    <w:p w:rsidR="00832E85" w:rsidRDefault="00832E85" w:rsidP="00832E85">
      <w:bookmarkStart w:id="0" w:name="_GoBack"/>
      <w:bookmarkEnd w:id="0"/>
    </w:p>
    <w:sectPr w:rsidR="00832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LT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-Ob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85"/>
    <w:rsid w:val="00832E85"/>
    <w:rsid w:val="00DB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3021"/>
  <w15:chartTrackingRefBased/>
  <w15:docId w15:val="{6D329B81-24F8-4355-9909-A1BE6279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32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Carolina Torres Perugachi</dc:creator>
  <cp:keywords/>
  <dc:description/>
  <cp:lastModifiedBy>Natalia Carolina Torres Perugachi</cp:lastModifiedBy>
  <cp:revision>1</cp:revision>
  <dcterms:created xsi:type="dcterms:W3CDTF">2017-12-22T15:13:00Z</dcterms:created>
  <dcterms:modified xsi:type="dcterms:W3CDTF">2017-12-22T15:19:00Z</dcterms:modified>
</cp:coreProperties>
</file>