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45" w:rsidRPr="001E592C" w:rsidRDefault="00332B45" w:rsidP="00332B45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E592C">
        <w:rPr>
          <w:rFonts w:ascii="Arial" w:hAnsi="Arial" w:cs="Arial"/>
          <w:b/>
          <w:sz w:val="24"/>
        </w:rPr>
        <w:t>Dato</w:t>
      </w:r>
    </w:p>
    <w:p w:rsidR="00332B45" w:rsidRDefault="00332B45" w:rsidP="00332B4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7A431D">
        <w:rPr>
          <w:rFonts w:ascii="Arial" w:hAnsi="Arial" w:cs="Arial"/>
          <w:sz w:val="24"/>
        </w:rPr>
        <w:t>Hechos</w:t>
      </w:r>
      <w:r>
        <w:rPr>
          <w:rFonts w:ascii="Arial" w:hAnsi="Arial" w:cs="Arial"/>
          <w:sz w:val="24"/>
        </w:rPr>
        <w:t xml:space="preserve"> </w:t>
      </w:r>
      <w:r w:rsidRPr="007A431D">
        <w:rPr>
          <w:rFonts w:ascii="Arial" w:hAnsi="Arial" w:cs="Arial"/>
          <w:sz w:val="24"/>
        </w:rPr>
        <w:t>(datos) conocidos que se pueden grabar y que tienen un significado implícito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163108286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3137FA">
            <w:rPr>
              <w:rFonts w:ascii="Arial" w:hAnsi="Arial" w:cs="Arial"/>
              <w:noProof/>
              <w:sz w:val="24"/>
            </w:rPr>
            <w:t>(Elmasri, R. &amp; Navathe, S., 2007, pág. 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332B45" w:rsidRDefault="00332B45" w:rsidP="00332B45"/>
    <w:p w:rsidR="003A07C8" w:rsidRDefault="003A07C8">
      <w:bookmarkStart w:id="0" w:name="_GoBack"/>
      <w:bookmarkEnd w:id="0"/>
    </w:p>
    <w:sectPr w:rsidR="003A07C8" w:rsidSect="00F0049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5"/>
    <w:rsid w:val="00332B45"/>
    <w:rsid w:val="003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01B5B-6959-43EC-AFE9-584D055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E3B1FED3-020E-474B-AB2E-E5D90E84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2019-02-06T02:51:00Z</dcterms:created>
  <dcterms:modified xsi:type="dcterms:W3CDTF">2019-02-06T02:51:00Z</dcterms:modified>
</cp:coreProperties>
</file>