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A26" w:rsidRPr="007C4A26" w:rsidRDefault="007C4A26" w:rsidP="007C4A26">
      <w:pPr>
        <w:spacing w:after="0" w:line="264" w:lineRule="atLeast"/>
        <w:outlineLvl w:val="0"/>
        <w:rPr>
          <w:rFonts w:ascii="Arial" w:eastAsia="Times New Roman" w:hAnsi="Arial" w:cs="Arial"/>
          <w:b/>
          <w:bCs/>
          <w:color w:val="323232"/>
          <w:spacing w:val="-5"/>
          <w:kern w:val="36"/>
          <w:sz w:val="60"/>
          <w:szCs w:val="60"/>
          <w:lang w:eastAsia="es-MX"/>
        </w:rPr>
      </w:pPr>
      <w:r>
        <w:rPr>
          <w:rFonts w:ascii="Arial" w:eastAsia="Times New Roman" w:hAnsi="Arial" w:cs="Arial"/>
          <w:b/>
          <w:bCs/>
          <w:color w:val="323232"/>
          <w:spacing w:val="-5"/>
          <w:kern w:val="36"/>
          <w:sz w:val="60"/>
          <w:szCs w:val="60"/>
          <w:lang w:eastAsia="es-MX"/>
        </w:rPr>
        <w:t>Nube privada</w:t>
      </w:r>
    </w:p>
    <w:p w:rsidR="007C4A26" w:rsidRPr="007C4A26" w:rsidRDefault="007C4A26" w:rsidP="007C4A26">
      <w:pPr>
        <w:shd w:val="clear" w:color="auto" w:fill="FFFFFF"/>
        <w:spacing w:after="120" w:line="401" w:lineRule="atLeast"/>
        <w:rPr>
          <w:rFonts w:ascii="Arial" w:eastAsia="Times New Roman" w:hAnsi="Arial" w:cs="Arial"/>
          <w:color w:val="6C6C6C"/>
          <w:sz w:val="27"/>
          <w:szCs w:val="27"/>
          <w:lang w:eastAsia="es-MX"/>
        </w:rPr>
      </w:pPr>
      <w:r w:rsidRPr="007C4A26">
        <w:rPr>
          <w:rFonts w:ascii="Calibri" w:eastAsia="Times New Roman" w:hAnsi="Calibri" w:cs="Arial"/>
          <w:color w:val="6C6C6C"/>
          <w:sz w:val="27"/>
          <w:szCs w:val="27"/>
          <w:lang w:eastAsia="es-MX"/>
        </w:rPr>
        <w:t>La nube privada es un tipo de </w:t>
      </w:r>
      <w:hyperlink r:id="rId5" w:history="1">
        <w:r w:rsidRPr="007C4A26">
          <w:rPr>
            <w:rFonts w:ascii="Calibri" w:eastAsia="Times New Roman" w:hAnsi="Calibri" w:cs="Arial"/>
            <w:color w:val="00B3AC"/>
            <w:sz w:val="27"/>
            <w:szCs w:val="27"/>
            <w:u w:val="single"/>
            <w:lang w:eastAsia="es-MX"/>
          </w:rPr>
          <w:t>computación en la nube</w:t>
        </w:r>
      </w:hyperlink>
      <w:r w:rsidRPr="007C4A26">
        <w:rPr>
          <w:rFonts w:ascii="Calibri" w:eastAsia="Times New Roman" w:hAnsi="Calibri" w:cs="Arial"/>
          <w:color w:val="6C6C6C"/>
          <w:sz w:val="27"/>
          <w:szCs w:val="27"/>
          <w:lang w:eastAsia="es-MX"/>
        </w:rPr>
        <w:t> que ofrece ventajas similares a la nube pública, incluida la escalabilidad y el autoservicio, pero a través de una arquitectura propietaria. A diferencia de las nubes públicas, que ofrecen servicios a varias organizaciones, una nube privada está dedicada a una sola organización.</w:t>
      </w:r>
    </w:p>
    <w:p w:rsidR="007C4A26" w:rsidRPr="007C4A26" w:rsidRDefault="007C4A26" w:rsidP="007C4A26">
      <w:pPr>
        <w:shd w:val="clear" w:color="auto" w:fill="FFFFFF"/>
        <w:spacing w:after="120" w:line="401" w:lineRule="atLeast"/>
        <w:rPr>
          <w:rFonts w:ascii="Arial" w:eastAsia="Times New Roman" w:hAnsi="Arial" w:cs="Arial"/>
          <w:color w:val="6C6C6C"/>
          <w:sz w:val="27"/>
          <w:szCs w:val="27"/>
          <w:lang w:eastAsia="es-MX"/>
        </w:rPr>
      </w:pPr>
      <w:r w:rsidRPr="007C4A26">
        <w:rPr>
          <w:rFonts w:ascii="Calibri" w:eastAsia="Times New Roman" w:hAnsi="Calibri" w:cs="Arial"/>
          <w:color w:val="6C6C6C"/>
          <w:sz w:val="27"/>
          <w:szCs w:val="27"/>
          <w:lang w:eastAsia="es-MX"/>
        </w:rPr>
        <w:t>Como resultado, la nube privada es la mejor para las empresas con necesidades informáticas dinámicas o impredecibles, que requieren un control directo sobre sus entornos.</w:t>
      </w:r>
    </w:p>
    <w:p w:rsidR="007C4A26" w:rsidRPr="007C4A26" w:rsidRDefault="007C4A26" w:rsidP="007C4A26">
      <w:pPr>
        <w:shd w:val="clear" w:color="auto" w:fill="FFFFFF"/>
        <w:spacing w:after="120" w:line="401" w:lineRule="atLeast"/>
        <w:rPr>
          <w:rFonts w:ascii="Arial" w:eastAsia="Times New Roman" w:hAnsi="Arial" w:cs="Arial"/>
          <w:color w:val="6C6C6C"/>
          <w:sz w:val="27"/>
          <w:szCs w:val="27"/>
          <w:lang w:eastAsia="es-MX"/>
        </w:rPr>
      </w:pPr>
      <w:hyperlink r:id="rId6" w:history="1">
        <w:r w:rsidRPr="007C4A26">
          <w:rPr>
            <w:rFonts w:ascii="Calibri" w:eastAsia="Times New Roman" w:hAnsi="Calibri" w:cs="Arial"/>
            <w:color w:val="00B3AC"/>
            <w:sz w:val="27"/>
            <w:szCs w:val="27"/>
            <w:u w:val="single"/>
            <w:lang w:eastAsia="es-MX"/>
          </w:rPr>
          <w:t>Los modelos de implementación de nube pública y privada son diferentes</w:t>
        </w:r>
      </w:hyperlink>
      <w:r w:rsidRPr="007C4A26">
        <w:rPr>
          <w:rFonts w:ascii="Calibri" w:eastAsia="Times New Roman" w:hAnsi="Calibri" w:cs="Arial"/>
          <w:color w:val="6C6C6C"/>
          <w:sz w:val="27"/>
          <w:szCs w:val="27"/>
          <w:lang w:eastAsia="es-MX"/>
        </w:rPr>
        <w:t xml:space="preserve">. Las nubes públicas, como las de Amazon Web </w:t>
      </w:r>
      <w:proofErr w:type="spellStart"/>
      <w:r w:rsidRPr="007C4A26">
        <w:rPr>
          <w:rFonts w:ascii="Calibri" w:eastAsia="Times New Roman" w:hAnsi="Calibri" w:cs="Arial"/>
          <w:color w:val="6C6C6C"/>
          <w:sz w:val="27"/>
          <w:szCs w:val="27"/>
          <w:lang w:eastAsia="es-MX"/>
        </w:rPr>
        <w:t>Services</w:t>
      </w:r>
      <w:proofErr w:type="spellEnd"/>
      <w:r w:rsidRPr="007C4A26">
        <w:rPr>
          <w:rFonts w:ascii="Calibri" w:eastAsia="Times New Roman" w:hAnsi="Calibri" w:cs="Arial"/>
          <w:color w:val="6C6C6C"/>
          <w:sz w:val="27"/>
          <w:szCs w:val="27"/>
          <w:lang w:eastAsia="es-MX"/>
        </w:rPr>
        <w:t xml:space="preserve"> o Google Compute </w:t>
      </w:r>
      <w:proofErr w:type="spellStart"/>
      <w:r w:rsidRPr="007C4A26">
        <w:rPr>
          <w:rFonts w:ascii="Calibri" w:eastAsia="Times New Roman" w:hAnsi="Calibri" w:cs="Arial"/>
          <w:color w:val="6C6C6C"/>
          <w:sz w:val="27"/>
          <w:szCs w:val="27"/>
          <w:lang w:eastAsia="es-MX"/>
        </w:rPr>
        <w:t>Engine</w:t>
      </w:r>
      <w:proofErr w:type="spellEnd"/>
      <w:r w:rsidRPr="007C4A26">
        <w:rPr>
          <w:rFonts w:ascii="Calibri" w:eastAsia="Times New Roman" w:hAnsi="Calibri" w:cs="Arial"/>
          <w:color w:val="6C6C6C"/>
          <w:sz w:val="27"/>
          <w:szCs w:val="27"/>
          <w:lang w:eastAsia="es-MX"/>
        </w:rPr>
        <w:t>, comparten una infraestructura de cómputo entre diferentes usuarios, unidades de negocio o empresas. Sin embargo, estos entornos de computación compartida no son adecuados para todas las empresas, como aquellas con cargas de trabajo de misión crítica, problemas de seguridad, requisitos de tiempo de actividad o demandas de gestión. En su lugar, estas empresas pueden proporcionar una parte de su centro de datos existente como una nube local o privada.</w:t>
      </w:r>
    </w:p>
    <w:p w:rsidR="007C4A26" w:rsidRPr="007C4A26" w:rsidRDefault="007C4A26" w:rsidP="007C4A26">
      <w:pPr>
        <w:shd w:val="clear" w:color="auto" w:fill="FFFFFF"/>
        <w:spacing w:after="120" w:line="401" w:lineRule="atLeast"/>
        <w:rPr>
          <w:rFonts w:ascii="Arial" w:eastAsia="Times New Roman" w:hAnsi="Arial" w:cs="Arial"/>
          <w:color w:val="6C6C6C"/>
          <w:sz w:val="27"/>
          <w:szCs w:val="27"/>
          <w:lang w:eastAsia="es-MX"/>
        </w:rPr>
      </w:pPr>
      <w:r w:rsidRPr="007C4A26">
        <w:rPr>
          <w:rFonts w:ascii="Calibri" w:eastAsia="Times New Roman" w:hAnsi="Calibri" w:cs="Arial"/>
          <w:color w:val="6C6C6C"/>
          <w:sz w:val="27"/>
          <w:szCs w:val="27"/>
          <w:lang w:eastAsia="es-MX"/>
        </w:rPr>
        <w:t xml:space="preserve">Una nube privada proporciona los mismos beneficios básicos de la nube pública. Estos incluyen el autoservicio y la escalabilidad; </w:t>
      </w:r>
      <w:proofErr w:type="spellStart"/>
      <w:r w:rsidRPr="007C4A26">
        <w:rPr>
          <w:rFonts w:ascii="Calibri" w:eastAsia="Times New Roman" w:hAnsi="Calibri" w:cs="Arial"/>
          <w:color w:val="6C6C6C"/>
          <w:sz w:val="27"/>
          <w:szCs w:val="27"/>
          <w:lang w:eastAsia="es-MX"/>
        </w:rPr>
        <w:t>multi</w:t>
      </w:r>
      <w:proofErr w:type="spellEnd"/>
      <w:r w:rsidRPr="007C4A26">
        <w:rPr>
          <w:rFonts w:ascii="Calibri" w:eastAsia="Times New Roman" w:hAnsi="Calibri" w:cs="Arial"/>
          <w:color w:val="6C6C6C"/>
          <w:sz w:val="27"/>
          <w:szCs w:val="27"/>
          <w:lang w:eastAsia="es-MX"/>
        </w:rPr>
        <w:t xml:space="preserve"> alquiler; la capacidad de provisión de máquinas; </w:t>
      </w:r>
      <w:hyperlink r:id="rId7" w:history="1">
        <w:r w:rsidRPr="007C4A26">
          <w:rPr>
            <w:rFonts w:ascii="Calibri" w:eastAsia="Times New Roman" w:hAnsi="Calibri" w:cs="Arial"/>
            <w:color w:val="00B3AC"/>
            <w:sz w:val="27"/>
            <w:szCs w:val="27"/>
            <w:u w:val="single"/>
            <w:lang w:eastAsia="es-MX"/>
          </w:rPr>
          <w:t>cambiar los recursos informáticos en demanda</w:t>
        </w:r>
      </w:hyperlink>
      <w:r w:rsidRPr="007C4A26">
        <w:rPr>
          <w:rFonts w:ascii="Calibri" w:eastAsia="Times New Roman" w:hAnsi="Calibri" w:cs="Arial"/>
          <w:color w:val="6C6C6C"/>
          <w:sz w:val="27"/>
          <w:szCs w:val="27"/>
          <w:lang w:eastAsia="es-MX"/>
        </w:rPr>
        <w:t xml:space="preserve">; y crear múltiples máquinas para tareas informáticas complejas, como </w:t>
      </w:r>
      <w:proofErr w:type="spellStart"/>
      <w:r w:rsidRPr="007C4A26">
        <w:rPr>
          <w:rFonts w:ascii="Calibri" w:eastAsia="Times New Roman" w:hAnsi="Calibri" w:cs="Arial"/>
          <w:color w:val="6C6C6C"/>
          <w:sz w:val="27"/>
          <w:szCs w:val="27"/>
          <w:lang w:eastAsia="es-MX"/>
        </w:rPr>
        <w:t>big</w:t>
      </w:r>
      <w:proofErr w:type="spellEnd"/>
      <w:r w:rsidRPr="007C4A26">
        <w:rPr>
          <w:rFonts w:ascii="Calibri" w:eastAsia="Times New Roman" w:hAnsi="Calibri" w:cs="Arial"/>
          <w:color w:val="6C6C6C"/>
          <w:sz w:val="27"/>
          <w:szCs w:val="27"/>
          <w:lang w:eastAsia="es-MX"/>
        </w:rPr>
        <w:t xml:space="preserve"> data. Las herramientas de </w:t>
      </w:r>
      <w:proofErr w:type="spellStart"/>
      <w:r w:rsidRPr="007C4A26">
        <w:rPr>
          <w:rFonts w:ascii="Calibri" w:eastAsia="Times New Roman" w:hAnsi="Calibri" w:cs="Arial"/>
          <w:color w:val="6C6C6C"/>
          <w:sz w:val="27"/>
          <w:szCs w:val="27"/>
          <w:lang w:eastAsia="es-MX"/>
        </w:rPr>
        <w:t>contracargo</w:t>
      </w:r>
      <w:proofErr w:type="spellEnd"/>
      <w:r w:rsidRPr="007C4A26">
        <w:rPr>
          <w:rFonts w:ascii="Calibri" w:eastAsia="Times New Roman" w:hAnsi="Calibri" w:cs="Arial"/>
          <w:color w:val="6C6C6C"/>
          <w:sz w:val="27"/>
          <w:szCs w:val="27"/>
          <w:lang w:eastAsia="es-MX"/>
        </w:rPr>
        <w:t xml:space="preserve"> controlan el uso del cómputo, y las unidades de negocio pagan solo por los recursos que utilizan.</w:t>
      </w:r>
    </w:p>
    <w:p w:rsidR="007C4A26" w:rsidRPr="007C4A26" w:rsidRDefault="007C4A26" w:rsidP="007C4A26">
      <w:pPr>
        <w:shd w:val="clear" w:color="auto" w:fill="FFFFFF"/>
        <w:spacing w:after="120" w:line="401" w:lineRule="atLeast"/>
        <w:rPr>
          <w:rFonts w:ascii="Arial" w:eastAsia="Times New Roman" w:hAnsi="Arial" w:cs="Arial"/>
          <w:color w:val="6C6C6C"/>
          <w:sz w:val="27"/>
          <w:szCs w:val="27"/>
          <w:lang w:eastAsia="es-MX"/>
        </w:rPr>
      </w:pPr>
      <w:r w:rsidRPr="007C4A26">
        <w:rPr>
          <w:rFonts w:ascii="Calibri" w:eastAsia="Times New Roman" w:hAnsi="Calibri" w:cs="Arial"/>
          <w:color w:val="6C6C6C"/>
          <w:sz w:val="27"/>
          <w:szCs w:val="27"/>
          <w:lang w:eastAsia="es-MX"/>
        </w:rPr>
        <w:t>Además, la nube privada ofrece servicios alojados a un número limitado de personas detrás de un firewall, por lo que minimiza las preocupaciones de seguridad que algunas organizaciones tienen en torno a la nube. La nube privada también da a las compañías control directo sobre sus datos.</w:t>
      </w:r>
    </w:p>
    <w:p w:rsidR="007C4A26" w:rsidRPr="007C4A26" w:rsidRDefault="007C4A26" w:rsidP="007C4A26">
      <w:pPr>
        <w:shd w:val="clear" w:color="auto" w:fill="FFFFFF"/>
        <w:spacing w:after="120" w:line="401" w:lineRule="atLeast"/>
        <w:rPr>
          <w:rFonts w:ascii="Arial" w:eastAsia="Times New Roman" w:hAnsi="Arial" w:cs="Arial"/>
          <w:color w:val="6C6C6C"/>
          <w:sz w:val="27"/>
          <w:szCs w:val="27"/>
          <w:lang w:eastAsia="es-MX"/>
        </w:rPr>
      </w:pPr>
      <w:hyperlink r:id="rId8" w:history="1">
        <w:r w:rsidRPr="007C4A26">
          <w:rPr>
            <w:rFonts w:ascii="Calibri" w:eastAsia="Times New Roman" w:hAnsi="Calibri" w:cs="Arial"/>
            <w:color w:val="00B3AC"/>
            <w:sz w:val="27"/>
            <w:szCs w:val="27"/>
            <w:u w:val="single"/>
            <w:lang w:eastAsia="es-MX"/>
          </w:rPr>
          <w:t>Pero las nubes privadas tienen algunas desventajas</w:t>
        </w:r>
      </w:hyperlink>
      <w:r w:rsidRPr="007C4A26">
        <w:rPr>
          <w:rFonts w:ascii="Calibri" w:eastAsia="Times New Roman" w:hAnsi="Calibri" w:cs="Arial"/>
          <w:color w:val="6C6C6C"/>
          <w:sz w:val="27"/>
          <w:szCs w:val="27"/>
          <w:lang w:eastAsia="es-MX"/>
        </w:rPr>
        <w:t xml:space="preserve">. Por ejemplo, el departamento de TI local –en lugar de un proveedor de nube externo– es </w:t>
      </w:r>
      <w:r w:rsidRPr="007C4A26">
        <w:rPr>
          <w:rFonts w:ascii="Calibri" w:eastAsia="Times New Roman" w:hAnsi="Calibri" w:cs="Arial"/>
          <w:color w:val="6C6C6C"/>
          <w:sz w:val="27"/>
          <w:szCs w:val="27"/>
          <w:lang w:eastAsia="es-MX"/>
        </w:rPr>
        <w:lastRenderedPageBreak/>
        <w:t xml:space="preserve">responsable de administrar la nube privada. Como resultado, los despliegues de nube privada llevan la misma dotación de personal, </w:t>
      </w:r>
      <w:proofErr w:type="spellStart"/>
      <w:r w:rsidRPr="007C4A26">
        <w:rPr>
          <w:rFonts w:ascii="Calibri" w:eastAsia="Times New Roman" w:hAnsi="Calibri" w:cs="Arial"/>
          <w:color w:val="6C6C6C"/>
          <w:sz w:val="27"/>
          <w:szCs w:val="27"/>
          <w:lang w:eastAsia="es-MX"/>
        </w:rPr>
        <w:t>administración,</w:t>
      </w:r>
      <w:hyperlink r:id="rId9" w:history="1">
        <w:r w:rsidRPr="007C4A26">
          <w:rPr>
            <w:rFonts w:ascii="Calibri" w:eastAsia="Times New Roman" w:hAnsi="Calibri" w:cs="Arial"/>
            <w:color w:val="00B3AC"/>
            <w:sz w:val="27"/>
            <w:szCs w:val="27"/>
            <w:u w:val="single"/>
            <w:lang w:eastAsia="es-MX"/>
          </w:rPr>
          <w:t>mantenimiento</w:t>
        </w:r>
        <w:proofErr w:type="spellEnd"/>
        <w:r w:rsidRPr="007C4A26">
          <w:rPr>
            <w:rFonts w:ascii="Calibri" w:eastAsia="Times New Roman" w:hAnsi="Calibri" w:cs="Arial"/>
            <w:color w:val="00B3AC"/>
            <w:sz w:val="27"/>
            <w:szCs w:val="27"/>
            <w:u w:val="single"/>
            <w:lang w:eastAsia="es-MX"/>
          </w:rPr>
          <w:t xml:space="preserve"> y gastos de capital que la propiedad tradicional del centro de datos</w:t>
        </w:r>
      </w:hyperlink>
      <w:r w:rsidRPr="007C4A26">
        <w:rPr>
          <w:rFonts w:ascii="Calibri" w:eastAsia="Times New Roman" w:hAnsi="Calibri" w:cs="Arial"/>
          <w:color w:val="6C6C6C"/>
          <w:sz w:val="27"/>
          <w:szCs w:val="27"/>
          <w:lang w:eastAsia="es-MX"/>
        </w:rPr>
        <w:t>. Los gastos adicionales de la nube privada incluyen virtualización, software de nube y herramientas de gestión de la nube.</w:t>
      </w:r>
    </w:p>
    <w:p w:rsidR="007C4A26" w:rsidRPr="007C4A26" w:rsidRDefault="007C4A26" w:rsidP="007C4A26">
      <w:pPr>
        <w:shd w:val="clear" w:color="auto" w:fill="FFFFFF"/>
        <w:spacing w:after="120" w:line="401" w:lineRule="atLeast"/>
        <w:rPr>
          <w:rFonts w:ascii="Arial" w:eastAsia="Times New Roman" w:hAnsi="Arial" w:cs="Arial"/>
          <w:color w:val="6C6C6C"/>
          <w:sz w:val="27"/>
          <w:szCs w:val="27"/>
          <w:lang w:eastAsia="es-MX"/>
        </w:rPr>
      </w:pPr>
      <w:r w:rsidRPr="007C4A26">
        <w:rPr>
          <w:rFonts w:ascii="Calibri" w:eastAsia="Times New Roman" w:hAnsi="Calibri" w:cs="Arial"/>
          <w:color w:val="6C6C6C"/>
          <w:sz w:val="27"/>
          <w:szCs w:val="27"/>
          <w:lang w:eastAsia="es-MX"/>
        </w:rPr>
        <w:t xml:space="preserve">Sin embargo, para reducir la huella de TI de una organización, los proveedores de nube, como </w:t>
      </w:r>
      <w:proofErr w:type="spellStart"/>
      <w:r w:rsidRPr="007C4A26">
        <w:rPr>
          <w:rFonts w:ascii="Calibri" w:eastAsia="Times New Roman" w:hAnsi="Calibri" w:cs="Arial"/>
          <w:color w:val="6C6C6C"/>
          <w:sz w:val="27"/>
          <w:szCs w:val="27"/>
          <w:lang w:eastAsia="es-MX"/>
        </w:rPr>
        <w:t>Rackspace</w:t>
      </w:r>
      <w:proofErr w:type="spellEnd"/>
      <w:r w:rsidRPr="007C4A26">
        <w:rPr>
          <w:rFonts w:ascii="Calibri" w:eastAsia="Times New Roman" w:hAnsi="Calibri" w:cs="Arial"/>
          <w:color w:val="6C6C6C"/>
          <w:sz w:val="27"/>
          <w:szCs w:val="27"/>
          <w:lang w:eastAsia="es-MX"/>
        </w:rPr>
        <w:t xml:space="preserve"> y </w:t>
      </w:r>
      <w:proofErr w:type="spellStart"/>
      <w:r w:rsidRPr="007C4A26">
        <w:rPr>
          <w:rFonts w:ascii="Calibri" w:eastAsia="Times New Roman" w:hAnsi="Calibri" w:cs="Arial"/>
          <w:color w:val="6C6C6C"/>
          <w:sz w:val="27"/>
          <w:szCs w:val="27"/>
          <w:lang w:eastAsia="es-MX"/>
        </w:rPr>
        <w:t>VMware</w:t>
      </w:r>
      <w:proofErr w:type="spellEnd"/>
      <w:r w:rsidRPr="007C4A26">
        <w:rPr>
          <w:rFonts w:ascii="Calibri" w:eastAsia="Times New Roman" w:hAnsi="Calibri" w:cs="Arial"/>
          <w:color w:val="6C6C6C"/>
          <w:sz w:val="27"/>
          <w:szCs w:val="27"/>
          <w:lang w:eastAsia="es-MX"/>
        </w:rPr>
        <w:t>, pueden implementar infraestructuras de nube privadas.</w:t>
      </w:r>
    </w:p>
    <w:p w:rsidR="007C4A26" w:rsidRDefault="007C4A26" w:rsidP="007C4A26">
      <w:pPr>
        <w:shd w:val="clear" w:color="auto" w:fill="FFFFFF"/>
        <w:spacing w:after="120" w:line="401" w:lineRule="atLeast"/>
        <w:rPr>
          <w:rFonts w:ascii="Calibri" w:eastAsia="Times New Roman" w:hAnsi="Calibri" w:cs="Arial"/>
          <w:color w:val="6C6C6C"/>
          <w:sz w:val="27"/>
          <w:szCs w:val="27"/>
          <w:lang w:eastAsia="es-MX"/>
        </w:rPr>
      </w:pPr>
      <w:r w:rsidRPr="007C4A26">
        <w:rPr>
          <w:rFonts w:ascii="Calibri" w:eastAsia="Times New Roman" w:hAnsi="Calibri" w:cs="Arial"/>
          <w:color w:val="6C6C6C"/>
          <w:sz w:val="27"/>
          <w:szCs w:val="27"/>
          <w:lang w:eastAsia="es-MX"/>
        </w:rPr>
        <w:t>Una empresa también puede usar una combinación de servicios de nube privada y pública, con un despliegue de nube híbrida. Esto permite a los usuarios escalar los requisitos de computación más allá de la nube privada y hacia la nube pública, una capacidad denominada explosión de la nube.</w:t>
      </w:r>
    </w:p>
    <w:p w:rsidR="007C4A26" w:rsidRPr="007C4A26" w:rsidRDefault="007C4A26" w:rsidP="007C4A26">
      <w:pPr>
        <w:shd w:val="clear" w:color="auto" w:fill="FFFFFF"/>
        <w:spacing w:after="120" w:line="401" w:lineRule="atLeast"/>
        <w:rPr>
          <w:rFonts w:ascii="Arial" w:eastAsia="Times New Roman" w:hAnsi="Arial" w:cs="Arial"/>
          <w:color w:val="6C6C6C"/>
          <w:sz w:val="27"/>
          <w:szCs w:val="27"/>
          <w:lang w:eastAsia="es-MX"/>
        </w:rPr>
      </w:pPr>
      <w:r>
        <w:rPr>
          <w:noProof/>
          <w:lang w:eastAsia="es-MX"/>
        </w:rPr>
        <w:drawing>
          <wp:inline distT="0" distB="0" distL="0" distR="0" wp14:anchorId="00C7ADF4" wp14:editId="5ACC1BD3">
            <wp:extent cx="5612130" cy="2746488"/>
            <wp:effectExtent l="0" t="0" r="7620" b="0"/>
            <wp:docPr id="2" name="Imagen 2" descr="Resultado de imagen para NUBES PRIV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NUBES PRIVAD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746488"/>
                    </a:xfrm>
                    <a:prstGeom prst="rect">
                      <a:avLst/>
                    </a:prstGeom>
                    <a:noFill/>
                    <a:ln>
                      <a:noFill/>
                    </a:ln>
                  </pic:spPr>
                </pic:pic>
              </a:graphicData>
            </a:graphic>
          </wp:inline>
        </w:drawing>
      </w:r>
      <w:bookmarkStart w:id="0" w:name="_GoBack"/>
      <w:bookmarkEnd w:id="0"/>
    </w:p>
    <w:p w:rsidR="007C4A26" w:rsidRDefault="007C4A26" w:rsidP="007C4A26"/>
    <w:p w:rsidR="007C4A26" w:rsidRDefault="007C4A26" w:rsidP="007C4A26"/>
    <w:sectPr w:rsidR="007C4A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BC2F07"/>
    <w:multiLevelType w:val="multilevel"/>
    <w:tmpl w:val="C530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26"/>
    <w:rsid w:val="007C4A26"/>
    <w:rsid w:val="008E1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B99CC-30B8-4655-A2F9-10EE7658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828945">
      <w:bodyDiv w:val="1"/>
      <w:marLeft w:val="0"/>
      <w:marRight w:val="0"/>
      <w:marTop w:val="0"/>
      <w:marBottom w:val="0"/>
      <w:divBdr>
        <w:top w:val="none" w:sz="0" w:space="0" w:color="auto"/>
        <w:left w:val="none" w:sz="0" w:space="0" w:color="auto"/>
        <w:bottom w:val="none" w:sz="0" w:space="0" w:color="auto"/>
        <w:right w:val="none" w:sz="0" w:space="0" w:color="auto"/>
      </w:divBdr>
      <w:divsChild>
        <w:div w:id="1930120240">
          <w:marLeft w:val="0"/>
          <w:marRight w:val="0"/>
          <w:marTop w:val="0"/>
          <w:marBottom w:val="375"/>
          <w:divBdr>
            <w:top w:val="none" w:sz="0" w:space="0" w:color="auto"/>
            <w:left w:val="none" w:sz="0" w:space="0" w:color="auto"/>
            <w:bottom w:val="none" w:sz="0" w:space="0" w:color="auto"/>
            <w:right w:val="none" w:sz="0" w:space="0" w:color="auto"/>
          </w:divBdr>
          <w:divsChild>
            <w:div w:id="1459563201">
              <w:marLeft w:val="0"/>
              <w:marRight w:val="0"/>
              <w:marTop w:val="0"/>
              <w:marBottom w:val="0"/>
              <w:divBdr>
                <w:top w:val="none" w:sz="0" w:space="0" w:color="auto"/>
                <w:left w:val="none" w:sz="0" w:space="0" w:color="auto"/>
                <w:bottom w:val="none" w:sz="0" w:space="0" w:color="auto"/>
                <w:right w:val="none" w:sz="0" w:space="0" w:color="auto"/>
              </w:divBdr>
              <w:divsChild>
                <w:div w:id="421494456">
                  <w:marLeft w:val="0"/>
                  <w:marRight w:val="225"/>
                  <w:marTop w:val="0"/>
                  <w:marBottom w:val="0"/>
                  <w:divBdr>
                    <w:top w:val="none" w:sz="0" w:space="0" w:color="auto"/>
                    <w:left w:val="none" w:sz="0" w:space="0" w:color="auto"/>
                    <w:bottom w:val="none" w:sz="0" w:space="0" w:color="auto"/>
                    <w:right w:val="none" w:sz="0" w:space="0" w:color="auto"/>
                  </w:divBdr>
                </w:div>
                <w:div w:id="238829723">
                  <w:marLeft w:val="0"/>
                  <w:marRight w:val="0"/>
                  <w:marTop w:val="0"/>
                  <w:marBottom w:val="0"/>
                  <w:divBdr>
                    <w:top w:val="none" w:sz="0" w:space="0" w:color="auto"/>
                    <w:left w:val="none" w:sz="0" w:space="0" w:color="auto"/>
                    <w:bottom w:val="none" w:sz="0" w:space="0" w:color="auto"/>
                    <w:right w:val="none" w:sz="0" w:space="0" w:color="auto"/>
                  </w:divBdr>
                  <w:divsChild>
                    <w:div w:id="187377928">
                      <w:marLeft w:val="0"/>
                      <w:marRight w:val="0"/>
                      <w:marTop w:val="0"/>
                      <w:marBottom w:val="0"/>
                      <w:divBdr>
                        <w:top w:val="none" w:sz="0" w:space="0" w:color="auto"/>
                        <w:left w:val="none" w:sz="0" w:space="0" w:color="auto"/>
                        <w:bottom w:val="none" w:sz="0" w:space="0" w:color="auto"/>
                        <w:right w:val="none" w:sz="0" w:space="0" w:color="auto"/>
                      </w:divBdr>
                    </w:div>
                    <w:div w:id="975110328">
                      <w:marLeft w:val="0"/>
                      <w:marRight w:val="0"/>
                      <w:marTop w:val="0"/>
                      <w:marBottom w:val="0"/>
                      <w:divBdr>
                        <w:top w:val="none" w:sz="0" w:space="0" w:color="auto"/>
                        <w:left w:val="none" w:sz="0" w:space="0" w:color="auto"/>
                        <w:bottom w:val="none" w:sz="0" w:space="0" w:color="auto"/>
                        <w:right w:val="none" w:sz="0" w:space="0" w:color="auto"/>
                      </w:divBdr>
                    </w:div>
                  </w:divsChild>
                </w:div>
                <w:div w:id="281766281">
                  <w:marLeft w:val="0"/>
                  <w:marRight w:val="0"/>
                  <w:marTop w:val="75"/>
                  <w:marBottom w:val="0"/>
                  <w:divBdr>
                    <w:top w:val="none" w:sz="0" w:space="0" w:color="auto"/>
                    <w:left w:val="none" w:sz="0" w:space="0" w:color="auto"/>
                    <w:bottom w:val="none" w:sz="0" w:space="0" w:color="auto"/>
                    <w:right w:val="none" w:sz="0" w:space="0" w:color="auto"/>
                  </w:divBdr>
                </w:div>
              </w:divsChild>
            </w:div>
            <w:div w:id="843478557">
              <w:marLeft w:val="0"/>
              <w:marRight w:val="0"/>
              <w:marTop w:val="0"/>
              <w:marBottom w:val="0"/>
              <w:divBdr>
                <w:top w:val="none" w:sz="0" w:space="0" w:color="auto"/>
                <w:left w:val="none" w:sz="0" w:space="0" w:color="auto"/>
                <w:bottom w:val="none" w:sz="0" w:space="0" w:color="auto"/>
                <w:right w:val="none" w:sz="0" w:space="0" w:color="auto"/>
              </w:divBdr>
            </w:div>
          </w:divsChild>
        </w:div>
        <w:div w:id="1089619302">
          <w:marLeft w:val="0"/>
          <w:marRight w:val="0"/>
          <w:marTop w:val="0"/>
          <w:marBottom w:val="0"/>
          <w:divBdr>
            <w:top w:val="none" w:sz="0" w:space="0" w:color="auto"/>
            <w:left w:val="none" w:sz="0" w:space="0" w:color="auto"/>
            <w:bottom w:val="none" w:sz="0" w:space="0" w:color="auto"/>
            <w:right w:val="none" w:sz="0" w:space="0" w:color="auto"/>
          </w:divBdr>
          <w:divsChild>
            <w:div w:id="1372147295">
              <w:marLeft w:val="0"/>
              <w:marRight w:val="0"/>
              <w:marTop w:val="0"/>
              <w:marBottom w:val="0"/>
              <w:divBdr>
                <w:top w:val="none" w:sz="0" w:space="0" w:color="auto"/>
                <w:left w:val="none" w:sz="0" w:space="0" w:color="auto"/>
                <w:bottom w:val="none" w:sz="0" w:space="0" w:color="auto"/>
                <w:right w:val="none" w:sz="0" w:space="0" w:color="auto"/>
              </w:divBdr>
              <w:divsChild>
                <w:div w:id="9556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7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datacenter.techtarget.com/es/cronica/Virtualizacion-y-nube-son-una-solucion-para-las-empresas-brasilenas" TargetMode="External"/><Relationship Id="rId3" Type="http://schemas.openxmlformats.org/officeDocument/2006/relationships/settings" Target="settings.xml"/><Relationship Id="rId7" Type="http://schemas.openxmlformats.org/officeDocument/2006/relationships/hyperlink" Target="https://searchdatacenter.techtarget.com/es/opinion/La-nube-empodera-a-las-empresas-con-soluciones-a-la-medid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datacenter.techtarget.com/es/consejo/Tres-roles-de-nube-que-los-CIO-no-pueden-ignorar" TargetMode="External"/><Relationship Id="rId11" Type="http://schemas.openxmlformats.org/officeDocument/2006/relationships/fontTable" Target="fontTable.xml"/><Relationship Id="rId5" Type="http://schemas.openxmlformats.org/officeDocument/2006/relationships/hyperlink" Target="https://searchdatacenter.techtarget.com/es/definicion/Computacion-en-la-nube"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searchdatacenter.techtarget.com/es/consejo/Adoptar-la-nube-significa-actualizar-las-re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2860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2019-02-21T14:36:00Z</dcterms:created>
  <dcterms:modified xsi:type="dcterms:W3CDTF">2019-02-21T14:40:00Z</dcterms:modified>
</cp:coreProperties>
</file>