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DA30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LA CONSTITUCION DE 1931 </w:t>
      </w:r>
    </w:p>
    <w:p w14:paraId="1C881D23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170F3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_tradnl" w:eastAsia="es-ES"/>
        </w:rPr>
        <w:t xml:space="preserve">            a) Las constituyentes de 1931 </w:t>
      </w:r>
    </w:p>
    <w:p w14:paraId="2CD28173" w14:textId="378F6F8F" w:rsid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elección de Cortes constituyentes era el primer paso para consolidar el régimen democrático.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El gobierno provisional reformó, por decreto de 10 de mayo,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el sistema electoral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introduciendo modi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ficaciones democratizadoras en la vieja ley de 1907. Las circunscripciones pasaban a ser provinciales y suprimía el famoso artículo 29 (proclamación automática del candidato cuando éste fuera único), para desarmar al caciquismo. Se rebajaba la mayoría de edad electoral de veinticinco a veintitrés años, y se declaraban elegibles los sacerdotes y las mujeres (sin que éstas fueran electores). Las candidaturas eran de lista, con un sistema electoral mayoritario corregido, que permitía una representación de minorías  aproxi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 xml:space="preserve">madamente el 80 por 100 de los escaños correspondían a la lista que obtenía más votos y el 20 por 100 a la que llegaba en segundo lugar. </w:t>
      </w:r>
    </w:p>
    <w:p w14:paraId="22BCDDAD" w14:textId="44924203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 La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campaña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transcurrió con bastante normalidad y el 28 de junio se celebraron las elecciones a Cortes Constituyentes.</w:t>
      </w:r>
      <w:r w:rsidRPr="00170F32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Pese al retrai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miento de la derecha y la abstención preconizada por los anarquista</w:t>
      </w:r>
      <w:r w:rsidRPr="00170F32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5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votaron unos 4,5 millones de electores, aproximadamente el 70% del censo (más que en las municipales del 12 de abril), que dieron una clara victoria a la conjunción republicano socia lista, y, por tanto un respaldo popular a la acción del Gobierno. El 14 de julio se constituyeron las Cortes, siendo elegido como Presidente Julián Besteiro, y el día 28 se ratificó la confianza al mismo Gobierno.</w:t>
      </w:r>
    </w:p>
    <w:p w14:paraId="4290FD38" w14:textId="77777777" w:rsidR="00170F32" w:rsidRPr="00170F32" w:rsidRDefault="00170F32" w:rsidP="00A4767B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resultado fue abrumadoramente favorable a la coalición republicana-socialista, que obtuvo unos 250 escaños de los 461 diputados que tenía la cámara. Al PSOE correspondían 116, y los pequeños partidos republicanos habían obtenido gran número de repre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sentantes. El partido radical, con una actitud de cen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tro, obtuvo un centenar de diputados, y la derecha (partidos agrarios y conservadores) unos 80, incluyen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do a los representantes de la Lliga Catalana y el Par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tido Nacionalista Vasco, que mantenían diferencias con los conservadores del resto de la península. Habla sido, pues, una victoria abrumadora de los partidos que habían traído la república y formaban el gobierno provisional.</w:t>
      </w:r>
    </w:p>
    <w:p w14:paraId="4F4F147D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Pero el reparto de escaños respondía a una coyun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tura política de transición, que no reflejaba la fuerza social de la derecha y sobrerrepresentaba, por contra, a los pequeños partidos de centro. En este fenómeno se inscribe, por ejemplo, la presencia numerosa de in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telectuales como Cossío, Unamuno, Ortega y Gasset, Sánchez Albornoz, Marañón, Giral, Pérez de Ayala...Eran, sin duda, las Cortes con nombres más presti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giados de toda la historia de España. La cuestión era hasta qué punto representaban a fuerzas sociales con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sistentes.</w:t>
      </w:r>
    </w:p>
    <w:p w14:paraId="27D1D7FA" w14:textId="35C15E23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 estas condiciones la iniciativa gubernamental. y constitucional que correspondía a socialistas, republi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canos y radical-socialistas no respondía fielmente a la relación de fuerzas sociales del país. Las clases dominantes no se sentían representadas en el gobierno-y mucho menos tras la salida de Alcalá Zamora y Maura- y ni siquiera en el régimen hasta que no se constituyó la CEDA. Por su parte, la clase obrera y el campesinado pobre no veían satisfechas sus necesida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des, y la línea de la CNT tendía objetivamente a alejar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las de la república. Las Constituyentes y el gobierno tuvieron, pues, que hacer frente a graves problemas derivados de la reestructuración del Estado y de la estructura social persistente.</w:t>
      </w:r>
    </w:p>
    <w:p w14:paraId="3857601F" w14:textId="71DAABFB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Al día siguiente se formó la </w:t>
      </w:r>
      <w:r w:rsidRPr="00170F32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 xml:space="preserve">Comisión constitucional,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presidida por Jiménez de Asúa, que rápidamente elaboró un proyecto y lo presentó al pleno el 27 de agosto. Tras su debate a la totalidad, se pasó a discutir el articulado, y después de tres meses de intenso debate, el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9 de diciem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softHyphen/>
        <w:t>bre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quedó definitivamente aprobada. La Constitución de 1931 consta de 9 títulos y 125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artículos. Sus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principales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características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son:</w:t>
      </w:r>
    </w:p>
    <w:p w14:paraId="0B0F57FC" w14:textId="15C4B228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 xml:space="preserve">1) La definición del Estado como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«República democrática de trabajadores de toda clase»,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subra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yando el carácter popular de la soberanía. La referencia a un estado de los trabajadores fue planteada por los socialistas, pero Alcalá Zamora introdujo la generalización  “de toda clase de trabajadores”</w:t>
      </w:r>
    </w:p>
    <w:p w14:paraId="66AF2667" w14:textId="340BF5EF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2)Una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extensa declaración de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derechos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(la más amplia de la historia constitucional española hasta la fecha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). Se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clasificaban los derechos ciudadanos bajo dos rúbricas: los individuales y políticos y los relativos a la familia, la economía y a la cultura. Entre los primeros figuran los derechos clásicos del constitucionalismo decimonónico (derecho a elegir re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 xml:space="preserve">sidencia, de circulación, inviolabilidad de domicilio y de correspondencia, libre emisión del pensamiento, </w:t>
      </w:r>
      <w:r w:rsidRPr="00170F32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 xml:space="preserve">habeas corpus,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garantías procesales y penales, etc.). Re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 xml:space="preserve">coge también las libertades de asociación política y sindical y la mayoría de edad electoral a los veintitrés años, tanto para hombres como para mujeres; la república se convertía así en unos de los primeros países en reconocer el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sufragio universal femenino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</w:p>
    <w:p w14:paraId="68611EAC" w14:textId="66C2360E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Constitución regulaba además estrictamente la suspensión de derechos en casos de notoria e inmi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 xml:space="preserve">nente gravedad, concediendo a las Cortes, que no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podían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ser disueltas, la última decisión. La suspensión podía durar, como máximo, treinta días, rigiendo du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rante este tiempo la ley de Orden Público.</w:t>
      </w:r>
    </w:p>
    <w:p w14:paraId="70E2A3D8" w14:textId="272A79FB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la parte relativa 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familia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economía y cultura se recogían los principios más modernos y democrá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ticos de esta materia. Las relaciones familiares están presididas por los criterios de máxima libertad e igual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dad: matrimonio civil basado en la igualdad de los cónyu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ges y susceptible de disolución (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ivorcio), obligaciones de los padres hacia los hijos, lo mismo que con los hijos ilegítimos, cuya distinción discriminatoria desaparecía, etcétera.</w:t>
      </w:r>
    </w:p>
    <w:p w14:paraId="41B47CDF" w14:textId="0996FBCB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cultura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aparece como función primordial del Estado, que debe extenderla a toda la población por encima de las diferencias económicas de los individuos, respetando la libertad total de los enseñantes.</w:t>
      </w:r>
    </w:p>
    <w:p w14:paraId="442743F7" w14:textId="1EB714E4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economía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abarca dos tipos de cuestiones, bajo el principio de que la iniciativa individual debe estar limitada por los intereses del pueblo. Por una parte con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sagra el trabajo como obligación social protegida por la ley, y enumera las materias que serán objeto de la legislación social. Por otra, sujeta la propiedad pri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vada de los medios de producción a ciertos l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í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mites subordinados a los intereses de la economía nacional y posibilidad de nacionalización y socialización, con indemnización, de ciertos sectores de la producción y los servicios, dejando también la puerta abierta a la intervención del Estado en la explotación y coordina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ción de industrias cuando lo exija la racionalización de la producción.</w:t>
      </w:r>
    </w:p>
    <w:p w14:paraId="3167231D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influencia socialista, evidente en toda la regu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lación de los derechos, se preocupó, en un sentido muy renovador, por respetar la organización social de la propiedad, previendo la posibilidad en el futuro, o en caso de necesidad, de nacionalizar determinados secto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res claves de la producción.</w:t>
      </w:r>
    </w:p>
    <w:p w14:paraId="5CBAD4D8" w14:textId="668E0C36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3) Las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Cortes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quedan configuradas como la representación p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rin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cipal del pueblo. Elegidas cada cuatro años, constan de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 una sola cáma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softHyphen/>
        <w:t>ra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y tienen en exclusiva el poder legislativo; su predominio sobre las demás instituciones determina un Estado en el que la acción política tiene lugar en el Congreso más que en el Gobierno o en el seno de los partidos políticos.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Los años de la República fueron, de hecho, de inten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so debate parlamentario.</w:t>
      </w:r>
    </w:p>
    <w:p w14:paraId="06843CFC" w14:textId="66A09636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4)El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Presidente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República es elegido cada seis años por los diputados y un número igual de compromisario; de esta forma se combina el sufragio directo con el sometimiento del Presidente a Cortes. Las competencias del Presidente están restringidas y son con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troladas en todo momento por la Cámara.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El Presidente nombra al </w:t>
      </w:r>
      <w:r w:rsidRPr="00170F32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Jefe de Gobierno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y, a propuesta de éste, a los Ministros, pero éstos deben ser ratificados por las Cortes, ante quienes responden individualmente.</w:t>
      </w:r>
    </w:p>
    <w:p w14:paraId="1A245336" w14:textId="00FBC524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 xml:space="preserve">5)Se establece un poder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judicial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totalmente independiente, con un Tribunal de Garantías Constitucionales cuyos miembros son elegidos por las Cortes, como máximo organismo ju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sdiccional del Estado.</w:t>
      </w:r>
    </w:p>
    <w:p w14:paraId="7E98F2EA" w14:textId="069BEF75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6)El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debate estrella,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fue, sin duda, el de los artículos 26 y 27, en los que se abordaba la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cuestión religiosa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En este aspecto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centraron los más encendidos discursos, en favor y en contra del dictamen de la Comisión, y, pese a la cerrada oposición de la derecha, se impuso, finalmente, un texto muy cercano al original. Los artículos en cues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tión establecen la disolución de las Congregaciones religiosas de «obediencia a autoridad distinta de la legítima del Estado» (en el fondo, se trataba de expulsar a la Compañía de Jesús, cuya obediencia era directa al Papa). Desaparece el presupuesto de culto y clero. Se prohíbe a las Congregaciones religiosas el ejercicio de la enseñanza, la industria y el comercio, al tiempo que quedan sometidas a una ley especial. la Constitución proclama la libertad de conciencia y cultos y establece la jurisdicción civil sobre los cementerios.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aprobación de estos artículos ocasionó, de hecho, una crisis, al dimitir a consecuencia de la misma Alcalá Zamora y Miguel Maura. El Gobierno se remodeló asumiendo Manuel Azaña la Presidencia provi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sional además del Ministerio de Guerra, y retocando otros dos minis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terios.</w:t>
      </w:r>
    </w:p>
    <w:p w14:paraId="4CABF2F8" w14:textId="1213CD65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7)      El tema de las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autonomías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fue, después del religioso, el más debatido y las cortes constituyentes lo abordaron con mucha prudencia, porque la mayoría de sus componentes eran reticentes a las autonomías.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Cuando la constitución fue aprobada se había ya elaborado y aprobado por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referéndum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masico en Estatuto catalán, que preveía una autonomía superior a la que permitió finalmente la Constitución.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También se habían iniciado los procesos para la aprobación de Estatutos en Euzkadi y Galicia, que no tendrían vigencia, y aún muy relativa, hasta iniciada la Guerra Civil.</w:t>
      </w:r>
    </w:p>
    <w:p w14:paraId="7B94E696" w14:textId="6EDE7342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 todas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formas,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este tema supuso quizás la mayor novedad de esta Constitución El artículo I definía a España como un “estado integral”, elaborando un concepto nuevo que en realidad era un compromiso entre los partidarios del federalismo y del unitarismo. Todo el título primero  dibuja la posibilidad de que varias provincias se constituyan en región autónoma, con un sistema de competencias propias, otras compartidas con el gobierno central y otras exclusivas de éste, para lo cual deberán presentar su proyecto de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Estatuto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 las Cortes, a quienes compete aprobarlo. la Consti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tución recoge con detalle las competencias susceptibles de ser transferidas a las regiones autónomas, y en este sentido se observa una s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premacía del gobierno central, porque al Estado le corresponde de manera exclusiva la legislación y ejecución directa de las materias de nacionalidad, derechos y deberes de todos los ciudadanos, relaciones Iglesia-Estado, política Internacional, ejército y defensa, aranceles y tratados de comercio, jurisdicción del Tribunal Supremo, seguridad pública en conflictos extrarregionales, etc., y además e </w:t>
      </w: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prohíbe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tajantemente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de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cla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ración de regiones autónomas. artículo que intentaba apaciguar a la derecha ante el temor al separatismo contrario a la “sagrada unidad de la patria”.</w:t>
      </w:r>
    </w:p>
    <w:p w14:paraId="1A5F082C" w14:textId="66B24B0E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No b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stante esta regulación limitadora, la discusión en las Cortes del estatuto catalán constituyó una nueva batalla, sólo superada tras el fracaso de</w:t>
      </w:r>
      <w:r w:rsidR="00864D6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“Sanjurjada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”, (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al igual que la ley de reforma Agraria), y aunque confirmó en términos generales el principio de la autonomía, manifestó también graves dificultades para su plena comprensión y desarrollo consecuente.</w:t>
      </w:r>
    </w:p>
    <w:p w14:paraId="4AC9473E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  </w:t>
      </w:r>
    </w:p>
    <w:p w14:paraId="26BEE566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_tradnl" w:eastAsia="es-ES"/>
        </w:rPr>
        <w:t xml:space="preserve">            c) Significado </w:t>
      </w:r>
    </w:p>
    <w:p w14:paraId="047345A9" w14:textId="19CC0012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El texto constitucional de 1931 pretendió -y en gran parte consiguió---- ser reflejo de los avances 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pol</w:t>
      </w:r>
      <w:r w:rsidR="00864D6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í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tico-jurídicos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 se hablan realizado tras la primera gue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 xml:space="preserve">rra mundial. La influencia en él de la Constitución alemana de Weimar, de la austríaca, mexicana y otras que gozaban del mayor prestigio no es sólo evidente, sino explicita en el discurso preliminar pronunciado por Jiménez de Asúa". La principal preocupación de los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>padres de la Cons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titución fue la ampliación de los derechos ciudadanos, en el doble sentido de recoger las aspiraciones sociales más sentidas, hasta entonces desconocidas por nues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tros textos constitucionales, y de asegurar el cumpli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miento de la declaración de derechos. Las instituciones se inscribieron en un régimen parlamentario equili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brado, con una total independencia del poder judicial.</w:t>
      </w:r>
    </w:p>
    <w:p w14:paraId="5544226F" w14:textId="6ABD8244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esta Constitución se trataba,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el impulso de republicanos y socialistas, de cambiar el rumbo de España y transformar el Estado en un sentido moderno,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laico y democrático.</w:t>
      </w:r>
      <w:r w:rsidR="00A4767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Como decía Azaña</w:t>
      </w:r>
      <w:r w:rsidR="00864D69"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  <w:r w:rsidR="00864D6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” rectificar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lo tradicional por lo racional”</w:t>
      </w:r>
    </w:p>
    <w:p w14:paraId="31E9E573" w14:textId="73C47E59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               Por eso, en conjunto, la Constitución era de talante claramente progresis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ta, inspirado en las más avanzadas de la época, y un texto que permi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tía el desarrollo de un sistema político abierto a izquierdas y derechas. Sin embargo, fue frontalmente atacada por la Iglesia y por los partidos de la derecha, que convirtieron la cuestión de la religión católica en principal causa de su rechazo.</w:t>
      </w:r>
    </w:p>
    <w:p w14:paraId="7514408B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Tras la aprobación de la Constitución, el 10 de diciembre fue ele</w:t>
      </w:r>
      <w:r w:rsidRPr="00170F3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softHyphen/>
        <w:t>gido Alcalá Zamora como primer Presidente de la República.</w:t>
      </w:r>
    </w:p>
    <w:p w14:paraId="24FD178C" w14:textId="77777777" w:rsidR="00170F32" w:rsidRPr="00170F32" w:rsidRDefault="00170F32" w:rsidP="00170F32">
      <w:pPr>
        <w:spacing w:before="100" w:beforeAutospacing="1" w:after="100" w:afterAutospacing="1" w:line="240" w:lineRule="auto"/>
        <w:ind w:left="-851" w:right="-11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F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1C7D23DD" w14:textId="77777777" w:rsidR="00710399" w:rsidRDefault="00710399" w:rsidP="00170F32">
      <w:pPr>
        <w:ind w:left="-851" w:right="-1135"/>
        <w:jc w:val="both"/>
      </w:pPr>
    </w:p>
    <w:sectPr w:rsidR="00710399" w:rsidSect="0071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32"/>
    <w:rsid w:val="0016559E"/>
    <w:rsid w:val="00170F32"/>
    <w:rsid w:val="00710399"/>
    <w:rsid w:val="00864D69"/>
    <w:rsid w:val="00A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CB2"/>
  <w15:docId w15:val="{4EACB6AB-1EEA-4BB9-98AF-C366750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9"/>
  </w:style>
  <w:style w:type="paragraph" w:styleId="Ttulo2">
    <w:name w:val="heading 2"/>
    <w:basedOn w:val="Normal"/>
    <w:link w:val="Ttulo2Car"/>
    <w:uiPriority w:val="9"/>
    <w:qFormat/>
    <w:rsid w:val="00170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0F3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7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2014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tomas cuesta</cp:lastModifiedBy>
  <cp:revision>2</cp:revision>
  <dcterms:created xsi:type="dcterms:W3CDTF">2011-05-17T10:23:00Z</dcterms:created>
  <dcterms:modified xsi:type="dcterms:W3CDTF">2020-04-13T16:32:00Z</dcterms:modified>
</cp:coreProperties>
</file>