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8AD" w:rsidRDefault="00B078AD" w:rsidP="00B078AD">
      <w:pPr>
        <w:pStyle w:val="Default"/>
        <w:rPr>
          <w:b/>
          <w:sz w:val="52"/>
          <w:szCs w:val="52"/>
        </w:rPr>
      </w:pPr>
      <w:r w:rsidRPr="00B078AD">
        <w:rPr>
          <w:b/>
          <w:sz w:val="52"/>
          <w:szCs w:val="52"/>
        </w:rPr>
        <w:t xml:space="preserve">Evolución de la infraestructura de TI </w:t>
      </w:r>
    </w:p>
    <w:p w:rsidR="00B078AD" w:rsidRPr="00B078AD" w:rsidRDefault="00B078AD" w:rsidP="00B078AD">
      <w:pPr>
        <w:pStyle w:val="Default"/>
        <w:rPr>
          <w:b/>
          <w:sz w:val="28"/>
          <w:szCs w:val="28"/>
        </w:rPr>
      </w:pPr>
    </w:p>
    <w:p w:rsidR="00B078AD" w:rsidRDefault="00B078AD" w:rsidP="00B078AD">
      <w:pPr>
        <w:pStyle w:val="Default"/>
        <w:rPr>
          <w:sz w:val="28"/>
          <w:szCs w:val="28"/>
        </w:rPr>
      </w:pPr>
      <w:r w:rsidRPr="00B078AD">
        <w:rPr>
          <w:sz w:val="28"/>
          <w:szCs w:val="28"/>
        </w:rPr>
        <w:t xml:space="preserve">Si damos una mirada a la infraestructura de TI de la organización donde trabajamos, seguramente encontramos una plataforma que ha venido evolucionando y renovándose debido a los avances que ha tenido la industria, con más de 50 años de evolución en las plataformas de computadoras. En este recorrido, han transcurrido cinco etapas, cada una de las cuales representa una distinta configuración de poder de cómputo y elementos de la </w:t>
      </w:r>
      <w:r w:rsidRPr="00B078AD">
        <w:rPr>
          <w:sz w:val="28"/>
          <w:szCs w:val="28"/>
        </w:rPr>
        <w:t>infraestructura.</w:t>
      </w:r>
    </w:p>
    <w:p w:rsidR="00B078AD" w:rsidRDefault="00B078AD" w:rsidP="00B078AD">
      <w:pPr>
        <w:pStyle w:val="Default"/>
        <w:rPr>
          <w:sz w:val="28"/>
          <w:szCs w:val="28"/>
        </w:rPr>
      </w:pPr>
      <w:r w:rsidRPr="00B078AD">
        <w:rPr>
          <w:noProof/>
          <w:sz w:val="28"/>
          <w:szCs w:val="28"/>
          <w:lang w:eastAsia="es-CO"/>
        </w:rPr>
        <w:drawing>
          <wp:inline distT="0" distB="0" distL="0" distR="0">
            <wp:extent cx="5612130" cy="220083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2200835"/>
                    </a:xfrm>
                    <a:prstGeom prst="rect">
                      <a:avLst/>
                    </a:prstGeom>
                    <a:noFill/>
                    <a:ln>
                      <a:noFill/>
                    </a:ln>
                  </pic:spPr>
                </pic:pic>
              </a:graphicData>
            </a:graphic>
          </wp:inline>
        </w:drawing>
      </w:r>
      <w:bookmarkStart w:id="0" w:name="_GoBack"/>
      <w:bookmarkEnd w:id="0"/>
    </w:p>
    <w:p w:rsidR="00B078AD" w:rsidRPr="00B078AD" w:rsidRDefault="00B078AD" w:rsidP="00B078AD">
      <w:pPr>
        <w:pStyle w:val="Default"/>
        <w:rPr>
          <w:sz w:val="28"/>
          <w:szCs w:val="28"/>
        </w:rPr>
      </w:pPr>
    </w:p>
    <w:p w:rsidR="00E271E6" w:rsidRPr="00B078AD" w:rsidRDefault="00B078AD" w:rsidP="00B078AD">
      <w:pPr>
        <w:rPr>
          <w:sz w:val="28"/>
          <w:szCs w:val="28"/>
        </w:rPr>
      </w:pPr>
      <w:r w:rsidRPr="00B078AD">
        <w:rPr>
          <w:sz w:val="28"/>
          <w:szCs w:val="28"/>
        </w:rPr>
        <w:t>Laudon (2012), afirma que la evolución de la infraestructura se presenta en cinco eras. La figura 1.8 muestra un panorama que inicia desde mediados del siglo pasado y llega hasta nuestros días, con la llamada computación en la nube que ha cambiado muchos de los paradigmas asociados a la adquisición y propiedad de equipos computacionales.</w:t>
      </w:r>
    </w:p>
    <w:sectPr w:rsidR="00E271E6" w:rsidRPr="00B078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AD"/>
    <w:rsid w:val="00B078AD"/>
    <w:rsid w:val="00E42303"/>
    <w:rsid w:val="00EE4B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878F"/>
  <w15:chartTrackingRefBased/>
  <w15:docId w15:val="{6B985E9D-7569-4C4B-A605-8B5467ED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078A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127</Words>
  <Characters>704</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Hp20</dc:creator>
  <cp:keywords/>
  <dc:description/>
  <cp:lastModifiedBy>Hp20</cp:lastModifiedBy>
  <cp:revision>1</cp:revision>
  <dcterms:created xsi:type="dcterms:W3CDTF">2021-02-16T12:01:00Z</dcterms:created>
  <dcterms:modified xsi:type="dcterms:W3CDTF">2021-02-16T12:11:00Z</dcterms:modified>
</cp:coreProperties>
</file>