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7F" w:rsidRPr="0079517F" w:rsidRDefault="0079517F" w:rsidP="0079517F">
      <w:pPr>
        <w:shd w:val="clear" w:color="auto" w:fill="FFFFFF"/>
        <w:spacing w:before="336" w:after="96" w:line="240" w:lineRule="auto"/>
        <w:outlineLvl w:val="1"/>
        <w:rPr>
          <w:rFonts w:eastAsia="Times New Roman" w:cs="Times New Roman"/>
          <w:b/>
          <w:color w:val="000000" w:themeColor="text1"/>
          <w:sz w:val="32"/>
          <w:szCs w:val="24"/>
          <w:lang w:eastAsia="es-CO"/>
        </w:rPr>
      </w:pPr>
      <w:r w:rsidRPr="0079517F">
        <w:rPr>
          <w:rFonts w:eastAsia="Times New Roman" w:cs="Times New Roman"/>
          <w:b/>
          <w:color w:val="000000" w:themeColor="text1"/>
          <w:sz w:val="32"/>
          <w:szCs w:val="24"/>
          <w:lang w:eastAsia="es-CO"/>
        </w:rPr>
        <w:t>Tomado de: https://es.justexw.com/necesitas-un-pool-bancario-hazlo-con-excel.html</w:t>
      </w:r>
    </w:p>
    <w:p w:rsidR="0079517F" w:rsidRPr="0079517F" w:rsidRDefault="0079517F" w:rsidP="0079517F">
      <w:pPr>
        <w:shd w:val="clear" w:color="auto" w:fill="FFFFFF"/>
        <w:spacing w:before="336" w:after="96" w:line="240" w:lineRule="auto"/>
        <w:jc w:val="center"/>
        <w:outlineLvl w:val="1"/>
        <w:rPr>
          <w:rFonts w:eastAsia="Times New Roman" w:cs="Times New Roman"/>
          <w:b/>
          <w:color w:val="000000" w:themeColor="text1"/>
          <w:sz w:val="32"/>
          <w:szCs w:val="24"/>
          <w:lang w:eastAsia="es-CO"/>
        </w:rPr>
      </w:pPr>
      <w:r w:rsidRPr="0079517F">
        <w:rPr>
          <w:rFonts w:eastAsia="Times New Roman" w:cs="Times New Roman"/>
          <w:b/>
          <w:color w:val="000000" w:themeColor="text1"/>
          <w:sz w:val="32"/>
          <w:szCs w:val="24"/>
          <w:lang w:eastAsia="es-CO"/>
        </w:rPr>
        <w:t>CÓMO HACER EL POOL BANCARIO EN EXCEL PASO A PASO</w:t>
      </w:r>
    </w:p>
    <w:p w:rsidR="0079517F" w:rsidRPr="0079517F" w:rsidRDefault="0079517F" w:rsidP="0079517F">
      <w:pPr>
        <w:shd w:val="clear" w:color="auto" w:fill="FFFFFF"/>
        <w:spacing w:after="216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es-CO"/>
        </w:rPr>
      </w:pP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Abrimos un nuevo </w:t>
      </w:r>
      <w:hyperlink r:id="rId5" w:history="1">
        <w:r w:rsidRPr="0079517F">
          <w:rPr>
            <w:rFonts w:eastAsia="Times New Roman" w:cs="Times New Roman"/>
            <w:color w:val="000000" w:themeColor="text1"/>
            <w:sz w:val="24"/>
            <w:szCs w:val="24"/>
            <w:lang w:eastAsia="es-CO"/>
          </w:rPr>
          <w:t>libro de Excel</w:t>
        </w:r>
      </w:hyperlink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 y creamos 5 páginas. En la primera basta con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anotar el nombre de la empresa y la fecha en que hacemos el pool bancario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. Además, puedes dejar un apartado para añadir las anotaciones que consideres oportunas. La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segunda página corresponde a la financiación a largo plazo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, y crearemos una tabla con las columnas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entidad, producto, capital inicial, capital actual, fecha de inicio, fecha de fin, tipo de interés, cuota mensual y garantías.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 Solo hay que completarla con los datos de cada producto.</w:t>
      </w:r>
    </w:p>
    <w:p w:rsidR="0079517F" w:rsidRPr="0079517F" w:rsidRDefault="0079517F" w:rsidP="0079517F">
      <w:pPr>
        <w:shd w:val="clear" w:color="auto" w:fill="FFFFFF"/>
        <w:spacing w:after="216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es-CO"/>
        </w:rPr>
      </w:pP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A la hora de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calcular la cuota mensual o el capital actual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, podemos incluir diferentes </w:t>
      </w:r>
      <w:hyperlink r:id="rId6" w:history="1">
        <w:r w:rsidRPr="0079517F">
          <w:rPr>
            <w:rFonts w:eastAsia="Times New Roman" w:cs="Times New Roman"/>
            <w:color w:val="000000" w:themeColor="text1"/>
            <w:sz w:val="24"/>
            <w:szCs w:val="24"/>
            <w:lang w:eastAsia="es-CO"/>
          </w:rPr>
          <w:t>fórmulas de Excel aprovechando que tenemos las fechas</w:t>
        </w:r>
      </w:hyperlink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 de inicio y de fin para que los cálculos se hagan de modo automático. Algo parecido pasa en la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siguiente pestaña, la de financiación circulante o a corto plazo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. Crearemos una </w:t>
      </w:r>
      <w:hyperlink r:id="rId7" w:history="1">
        <w:r w:rsidRPr="0079517F">
          <w:rPr>
            <w:rFonts w:eastAsia="Times New Roman" w:cs="Times New Roman"/>
            <w:color w:val="000000" w:themeColor="text1"/>
            <w:sz w:val="24"/>
            <w:szCs w:val="24"/>
            <w:lang w:eastAsia="es-CO"/>
          </w:rPr>
          <w:t>tabla de Excel</w:t>
        </w:r>
      </w:hyperlink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 con las columnas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 entidad, producto, límite actual, dispuesto, disponible, vencimiento y garantías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. Para calcular el disponible, restaremos la cantidad dispuesta al límite actual.</w:t>
      </w:r>
    </w:p>
    <w:p w:rsidR="0079517F" w:rsidRPr="0079517F" w:rsidRDefault="0079517F" w:rsidP="0079517F">
      <w:pPr>
        <w:shd w:val="clear" w:color="auto" w:fill="FFFFFF"/>
        <w:spacing w:after="216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es-CO"/>
        </w:rPr>
      </w:pP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Nuestra cuarta pestaña corresponde al pool bancario propiamente dicho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, y la podemos dividir en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tres partes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. Por un lado tenemos el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resumen general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, donde aparecen el mes y año actual,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el total de la financiación a corto plazo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, además del desglose entre dispuesto y disponible, 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y el total de financiación a largo plazo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. Sumando ambos conceptos tenemos el</w:t>
      </w:r>
      <w:r w:rsidRPr="0079517F">
        <w:rPr>
          <w:rFonts w:eastAsia="Times New Roman" w:cs="Times New Roman"/>
          <w:bCs/>
          <w:color w:val="000000" w:themeColor="text1"/>
          <w:sz w:val="24"/>
          <w:szCs w:val="24"/>
          <w:lang w:eastAsia="es-CO"/>
        </w:rPr>
        <w:t> total de financiación, una parte clave para nuestro pool bancario</w:t>
      </w:r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. No hace falta decir que las fórmulas y </w:t>
      </w:r>
      <w:hyperlink r:id="rId8" w:history="1">
        <w:r w:rsidRPr="0079517F">
          <w:rPr>
            <w:rFonts w:eastAsia="Times New Roman" w:cs="Times New Roman"/>
            <w:color w:val="000000" w:themeColor="text1"/>
            <w:sz w:val="24"/>
            <w:szCs w:val="24"/>
            <w:lang w:eastAsia="es-CO"/>
          </w:rPr>
          <w:t>funciones de Excel</w:t>
        </w:r>
      </w:hyperlink>
      <w:r w:rsidRPr="0079517F">
        <w:rPr>
          <w:rFonts w:eastAsia="Times New Roman" w:cs="Times New Roman"/>
          <w:color w:val="000000" w:themeColor="text1"/>
          <w:sz w:val="24"/>
          <w:szCs w:val="24"/>
          <w:lang w:eastAsia="es-CO"/>
        </w:rPr>
        <w:t> nos permiten calcular automáticamente estos campos a partir de la información de otras hojas del libro.</w:t>
      </w:r>
    </w:p>
    <w:p w:rsidR="006517D1" w:rsidRPr="0079517F" w:rsidRDefault="0079517F" w:rsidP="0079517F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9517F">
        <w:rPr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84FFFDB" wp14:editId="60176194">
            <wp:extent cx="5218039" cy="2695575"/>
            <wp:effectExtent l="0" t="0" r="1905" b="0"/>
            <wp:docPr id="1" name="Imagen 1" descr="https://ganttxl.com/wp-content/uploads/2020/11/Gantt-Chart-Exc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nttxl.com/wp-content/uploads/2020/11/Gantt-Chart-Excel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40" cy="269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7F" w:rsidRPr="0079517F" w:rsidRDefault="0079517F" w:rsidP="0079517F">
      <w:pPr>
        <w:pStyle w:val="NormalWeb"/>
        <w:shd w:val="clear" w:color="auto" w:fill="FFFFFF"/>
        <w:spacing w:before="0" w:beforeAutospacing="0" w:after="216" w:afterAutospacing="0"/>
        <w:jc w:val="both"/>
        <w:rPr>
          <w:rFonts w:asciiTheme="minorHAnsi" w:hAnsiTheme="minorHAnsi"/>
          <w:color w:val="000000" w:themeColor="text1"/>
        </w:rPr>
      </w:pPr>
      <w:r w:rsidRPr="0079517F">
        <w:rPr>
          <w:rFonts w:asciiTheme="minorHAnsi" w:hAnsiTheme="minorHAnsi"/>
          <w:color w:val="000000" w:themeColor="text1"/>
        </w:rPr>
        <w:lastRenderedPageBreak/>
        <w:t>La 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segunda parte del pool bancario es el resumen por entidad</w:t>
      </w:r>
      <w:r w:rsidRPr="0079517F">
        <w:rPr>
          <w:rFonts w:asciiTheme="minorHAnsi" w:hAnsiTheme="minorHAnsi"/>
          <w:b/>
          <w:color w:val="000000" w:themeColor="text1"/>
        </w:rPr>
        <w:t>.</w:t>
      </w:r>
      <w:r w:rsidRPr="0079517F">
        <w:rPr>
          <w:rFonts w:asciiTheme="minorHAnsi" w:hAnsiTheme="minorHAnsi"/>
          <w:color w:val="000000" w:themeColor="text1"/>
        </w:rPr>
        <w:t xml:space="preserve"> Haremos una nueva tabla con </w:t>
      </w:r>
      <w:hyperlink r:id="rId10" w:history="1">
        <w:r w:rsidRPr="0079517F">
          <w:rPr>
            <w:rStyle w:val="Hipervnculo"/>
            <w:rFonts w:asciiTheme="minorHAnsi" w:hAnsiTheme="minorHAnsi"/>
            <w:color w:val="000000" w:themeColor="text1"/>
            <w:u w:val="none"/>
          </w:rPr>
          <w:t>columnas de Excel</w:t>
        </w:r>
      </w:hyperlink>
      <w:r w:rsidRPr="0079517F">
        <w:rPr>
          <w:rFonts w:asciiTheme="minorHAnsi" w:hAnsiTheme="minorHAnsi"/>
          <w:color w:val="000000" w:themeColor="text1"/>
        </w:rPr>
        <w:t> para entidad, total financiación, financiación a corto plazo, financiación a largo plazo y cuota en pool. A su vez, la columna de financiación a corto plazo la dividimos en las subcolumnas límite u dispuesto y la columna con la financiación a largo plazo en capital inicial y capital final. De este modo, 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tenemos perfectamente identificada la financiación con cada entidad bancaria con la que trabajamos</w:t>
      </w:r>
      <w:r w:rsidRPr="0079517F">
        <w:rPr>
          <w:rFonts w:asciiTheme="minorHAnsi" w:hAnsiTheme="minorHAnsi"/>
          <w:color w:val="000000" w:themeColor="text1"/>
        </w:rPr>
        <w:t> y sabemos su influencia en nuestra deuda.</w:t>
      </w:r>
    </w:p>
    <w:p w:rsidR="0079517F" w:rsidRPr="0079517F" w:rsidRDefault="0079517F" w:rsidP="0079517F">
      <w:pPr>
        <w:pStyle w:val="NormalWeb"/>
        <w:shd w:val="clear" w:color="auto" w:fill="FFFFFF"/>
        <w:spacing w:before="0" w:beforeAutospacing="0" w:after="216" w:afterAutospacing="0"/>
        <w:jc w:val="both"/>
        <w:rPr>
          <w:rFonts w:asciiTheme="minorHAnsi" w:hAnsiTheme="minorHAnsi"/>
          <w:color w:val="000000" w:themeColor="text1"/>
        </w:rPr>
      </w:pPr>
      <w:r w:rsidRPr="0079517F">
        <w:rPr>
          <w:rFonts w:asciiTheme="minorHAnsi" w:hAnsiTheme="minorHAnsi"/>
          <w:color w:val="000000" w:themeColor="text1"/>
        </w:rPr>
        <w:t>Pasamos a la 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tercera parte, el resumen por productos</w:t>
      </w:r>
      <w:r w:rsidRPr="0079517F">
        <w:rPr>
          <w:rFonts w:asciiTheme="minorHAnsi" w:hAnsiTheme="minorHAnsi"/>
          <w:color w:val="000000" w:themeColor="text1"/>
        </w:rPr>
        <w:t>. Hay que incluir, por una parte, una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 tabla con los</w:t>
      </w:r>
      <w:bookmarkStart w:id="0" w:name="_GoBack"/>
      <w:bookmarkEnd w:id="0"/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 xml:space="preserve"> productos de financiación a largo plazo</w:t>
      </w:r>
      <w:r w:rsidRPr="0079517F">
        <w:rPr>
          <w:rFonts w:asciiTheme="minorHAnsi" w:hAnsiTheme="minorHAnsi"/>
          <w:color w:val="000000" w:themeColor="text1"/>
        </w:rPr>
        <w:t>, incluidos el capital inicial y pendiente y la cuota anual; y por otra parte la</w:t>
      </w:r>
      <w:r w:rsidRPr="0079517F">
        <w:rPr>
          <w:rStyle w:val="Textoennegrita"/>
          <w:rFonts w:asciiTheme="minorHAnsi" w:hAnsiTheme="minorHAnsi"/>
          <w:color w:val="000000" w:themeColor="text1"/>
        </w:rPr>
        <w:t> 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financiación a corto</w:t>
      </w:r>
      <w:r w:rsidRPr="0079517F">
        <w:rPr>
          <w:rStyle w:val="Textoennegrita"/>
          <w:rFonts w:asciiTheme="minorHAnsi" w:hAnsiTheme="minorHAnsi"/>
          <w:color w:val="000000" w:themeColor="text1"/>
        </w:rPr>
        <w:t xml:space="preserve"> 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plazo</w:t>
      </w:r>
      <w:r w:rsidRPr="0079517F">
        <w:rPr>
          <w:rFonts w:asciiTheme="minorHAnsi" w:hAnsiTheme="minorHAnsi"/>
          <w:color w:val="000000" w:themeColor="text1"/>
        </w:rPr>
        <w:t> con el producto, límite actual, el capital dispuesto y el disponible. A partir de las diferentes tablas del pool bancario, podemos 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crear los gráficos del pool bancario</w:t>
      </w:r>
      <w:r w:rsidRPr="0079517F">
        <w:rPr>
          <w:rFonts w:asciiTheme="minorHAnsi" w:hAnsiTheme="minorHAnsi"/>
          <w:b/>
          <w:color w:val="000000" w:themeColor="text1"/>
        </w:rPr>
        <w:t>,</w:t>
      </w:r>
      <w:r w:rsidRPr="0079517F">
        <w:rPr>
          <w:rFonts w:asciiTheme="minorHAnsi" w:hAnsiTheme="minorHAnsi"/>
          <w:color w:val="000000" w:themeColor="text1"/>
        </w:rPr>
        <w:t xml:space="preserve"> lo que nos ofrece una descripción 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mucho más visual de nuestro pool</w:t>
      </w:r>
      <w:r w:rsidRPr="0079517F">
        <w:rPr>
          <w:rFonts w:asciiTheme="minorHAnsi" w:hAnsiTheme="minorHAnsi"/>
          <w:color w:val="000000" w:themeColor="text1"/>
        </w:rPr>
        <w:t>. Para ello tenemos todas las </w:t>
      </w:r>
      <w:hyperlink r:id="rId11" w:history="1">
        <w:r w:rsidRPr="0079517F">
          <w:rPr>
            <w:rStyle w:val="Hipervnculo"/>
            <w:rFonts w:asciiTheme="minorHAnsi" w:hAnsiTheme="minorHAnsi"/>
            <w:color w:val="000000" w:themeColor="text1"/>
            <w:u w:val="none"/>
          </w:rPr>
          <w:t>opciones de gráficos de Excel</w:t>
        </w:r>
      </w:hyperlink>
      <w:r w:rsidRPr="0079517F">
        <w:rPr>
          <w:rFonts w:asciiTheme="minorHAnsi" w:hAnsiTheme="minorHAnsi"/>
          <w:color w:val="000000" w:themeColor="text1"/>
        </w:rPr>
        <w:t>.</w:t>
      </w:r>
    </w:p>
    <w:p w:rsidR="0079517F" w:rsidRPr="0079517F" w:rsidRDefault="0079517F" w:rsidP="0079517F">
      <w:pPr>
        <w:pStyle w:val="NormalWeb"/>
        <w:shd w:val="clear" w:color="auto" w:fill="FFFFFF"/>
        <w:spacing w:before="0" w:beforeAutospacing="0" w:after="216" w:afterAutospacing="0"/>
        <w:jc w:val="both"/>
        <w:rPr>
          <w:rFonts w:asciiTheme="minorHAnsi" w:hAnsiTheme="minorHAnsi"/>
          <w:color w:val="000000" w:themeColor="text1"/>
        </w:rPr>
      </w:pPr>
      <w:r w:rsidRPr="0079517F">
        <w:rPr>
          <w:rFonts w:asciiTheme="minorHAnsi" w:hAnsiTheme="minorHAnsi"/>
          <w:color w:val="000000" w:themeColor="text1"/>
        </w:rPr>
        <w:t>Finalmente, tenemos una 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hoja con el calendario donde podemos calcular los vencimientos de los diferentes productos financieros y hacer simulaciones de reestructuración de la deuda</w:t>
      </w:r>
      <w:r w:rsidRPr="0079517F">
        <w:rPr>
          <w:rFonts w:asciiTheme="minorHAnsi" w:hAnsiTheme="minorHAnsi"/>
          <w:color w:val="000000" w:themeColor="text1"/>
        </w:rPr>
        <w:t>. Para ello, en esta pestaña necesitamos </w:t>
      </w:r>
      <w:r w:rsidRPr="0079517F">
        <w:rPr>
          <w:rStyle w:val="Textoennegrita"/>
          <w:rFonts w:asciiTheme="minorHAnsi" w:hAnsiTheme="minorHAnsi"/>
          <w:b w:val="0"/>
          <w:color w:val="000000" w:themeColor="text1"/>
        </w:rPr>
        <w:t>al menos dos calendarios</w:t>
      </w:r>
      <w:r w:rsidRPr="0079517F">
        <w:rPr>
          <w:rFonts w:asciiTheme="minorHAnsi" w:hAnsiTheme="minorHAnsi"/>
          <w:b/>
          <w:color w:val="000000" w:themeColor="text1"/>
        </w:rPr>
        <w:t>:</w:t>
      </w:r>
      <w:r w:rsidRPr="0079517F">
        <w:rPr>
          <w:rFonts w:asciiTheme="minorHAnsi" w:hAnsiTheme="minorHAnsi"/>
          <w:color w:val="000000" w:themeColor="text1"/>
        </w:rPr>
        <w:t xml:space="preserve"> el real y el simulado. Para ello, hacemos dos tablas idénticas con las columnas año, cuotas, capital, intereses y pendientes. En la primera reflejamos los datos actuales, y en la segunda la reestructuración. Así podemos comparar las dos situaciones. De nuevo, podemos exportar estos datos a un gráfico.</w:t>
      </w:r>
    </w:p>
    <w:p w:rsidR="0079517F" w:rsidRPr="0079517F" w:rsidRDefault="0079517F" w:rsidP="0079517F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sectPr w:rsidR="0079517F" w:rsidRPr="00795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7F"/>
    <w:rsid w:val="00015888"/>
    <w:rsid w:val="0079517F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9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517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9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9517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9517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9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517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9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9517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9517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justexw.com/funciones-de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justexw.com/tabla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justexw.com/las-formulas-de-excel-para-fechas.html" TargetMode="External"/><Relationship Id="rId11" Type="http://schemas.openxmlformats.org/officeDocument/2006/relationships/hyperlink" Target="https://es.justexw.com/graficos" TargetMode="External"/><Relationship Id="rId5" Type="http://schemas.openxmlformats.org/officeDocument/2006/relationships/hyperlink" Target="https://es.justexw.com/libros" TargetMode="External"/><Relationship Id="rId10" Type="http://schemas.openxmlformats.org/officeDocument/2006/relationships/hyperlink" Target="https://es.justexw.com/column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3153</Characters>
  <Application>Microsoft Office Word</Application>
  <DocSecurity>0</DocSecurity>
  <Lines>26</Lines>
  <Paragraphs>7</Paragraphs>
  <ScaleCrop>false</ScaleCrop>
  <Company>Luffi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2021-02-17T05:19:00Z</dcterms:created>
  <dcterms:modified xsi:type="dcterms:W3CDTF">2021-02-17T05:30:00Z</dcterms:modified>
</cp:coreProperties>
</file>