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B8854" w14:textId="69F8B9A3" w:rsidR="00216F27" w:rsidRPr="00B45AD2" w:rsidRDefault="00B45AD2">
      <w:pPr>
        <w:rPr>
          <w:rFonts w:ascii="Arial" w:hAnsi="Arial" w:cs="Arial"/>
          <w:sz w:val="24"/>
          <w:szCs w:val="24"/>
        </w:rPr>
      </w:pPr>
      <w:r w:rsidRPr="00B45AD2">
        <w:rPr>
          <w:rFonts w:ascii="Arial" w:hAnsi="Arial" w:cs="Arial"/>
          <w:sz w:val="24"/>
          <w:szCs w:val="24"/>
        </w:rPr>
        <w:t xml:space="preserve">“Es una clave candidata, elegida por el diseñador de la base de datos, para identificar unívocamente las entidades en un conjunto de </w:t>
      </w:r>
      <w:proofErr w:type="gramStart"/>
      <w:r w:rsidRPr="00B45AD2">
        <w:rPr>
          <w:rFonts w:ascii="Arial" w:hAnsi="Arial" w:cs="Arial"/>
          <w:sz w:val="24"/>
          <w:szCs w:val="24"/>
        </w:rPr>
        <w:t>Entidades ”</w:t>
      </w:r>
      <w:proofErr w:type="gramEnd"/>
      <w:r w:rsidRPr="00B45AD2">
        <w:rPr>
          <w:rFonts w:ascii="Arial" w:hAnsi="Arial" w:cs="Arial"/>
          <w:sz w:val="24"/>
          <w:szCs w:val="24"/>
        </w:rPr>
        <w:t xml:space="preserve"> (Medina O. (2015). Conceptos clave. 2017, de IBM)</w:t>
      </w:r>
    </w:p>
    <w:sectPr w:rsidR="00216F27" w:rsidRPr="00B45A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AD2"/>
    <w:rsid w:val="00216F27"/>
    <w:rsid w:val="00B4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F5164"/>
  <w15:chartTrackingRefBased/>
  <w15:docId w15:val="{7F26768C-BAC1-473C-A12A-F0891582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165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19560449 -AARON VAZQUEZ ORTIZ</dc:creator>
  <cp:keywords/>
  <dc:description/>
  <cp:lastModifiedBy>19560449 -AARON VAZQUEZ ORTIZ</cp:lastModifiedBy>
  <cp:revision>1</cp:revision>
  <dcterms:created xsi:type="dcterms:W3CDTF">2022-03-12T04:20:00Z</dcterms:created>
  <dcterms:modified xsi:type="dcterms:W3CDTF">2022-03-12T04:20:00Z</dcterms:modified>
</cp:coreProperties>
</file>