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76A79892" w:rsidR="00B72C04" w:rsidRPr="009361F3" w:rsidRDefault="009361F3" w:rsidP="009361F3">
      <w:pPr>
        <w:rPr>
          <w:rFonts w:ascii="Arial" w:hAnsi="Arial" w:cs="Arial"/>
          <w:sz w:val="24"/>
          <w:szCs w:val="24"/>
        </w:rPr>
      </w:pPr>
      <w:r w:rsidRPr="009361F3">
        <w:rPr>
          <w:rFonts w:ascii="Arial" w:hAnsi="Arial" w:cs="Arial"/>
          <w:sz w:val="24"/>
          <w:szCs w:val="24"/>
        </w:rPr>
        <w:t>“Son conexiones o interacciones entre las instancias de entidad”. (Ricardo, 2009, pág. 94).</w:t>
      </w:r>
    </w:p>
    <w:sectPr w:rsidR="00B72C04" w:rsidRPr="009361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500ADC"/>
    <w:rsid w:val="008C3EAE"/>
    <w:rsid w:val="009361F3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2022-03-12T04:48:00Z</dcterms:created>
  <dcterms:modified xsi:type="dcterms:W3CDTF">2022-03-12T04:48:00Z</dcterms:modified>
</cp:coreProperties>
</file>