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Serán de cargo de la sociedad de gananciales los gastos que se originen por alguna de las siguientes causas:</w:t>
      </w:r>
    </w:p>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1.ª El sostenimiento de la familia, la alimentación y educación de los hijos comunes y las atenciones de previsión acomodadas a los usos y a las circunstancias de la familia.</w:t>
      </w:r>
    </w:p>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La alimentación y educación de los hijos de uno solo de los cónyuges correrá a cargo de la sociedad de gananciales cuando convivan en el hogar familiar. En caso contrario, los gastos derivados de estos conceptos serán sufragados por la sociedad de gananciales, pero darán lugar a reintegro en el momento de la liquidación.</w:t>
      </w:r>
    </w:p>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2.ª La adquisición, tenencia y disfrute de los bienes comunes.</w:t>
      </w:r>
    </w:p>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3.ª La administración ordinaria de los bienes privativos de cualquiera de los cónyuges.</w:t>
      </w:r>
    </w:p>
    <w:p w:rsidR="007A0E97" w:rsidRDefault="007A0E97" w:rsidP="007A0E97">
      <w:pPr>
        <w:pStyle w:val="NormalWeb"/>
        <w:spacing w:before="0" w:beforeAutospacing="0" w:after="420" w:afterAutospacing="0" w:line="420" w:lineRule="atLeast"/>
        <w:rPr>
          <w:rFonts w:ascii="Raleway" w:hAnsi="Raleway"/>
          <w:color w:val="666666"/>
        </w:rPr>
      </w:pPr>
      <w:r>
        <w:rPr>
          <w:rFonts w:ascii="Raleway" w:hAnsi="Raleway"/>
          <w:color w:val="666666"/>
        </w:rPr>
        <w:t>4.ª La explotación regular de los negocios o el desempeño de la profesión, arte u oficio de cada cónyuge.</w:t>
      </w:r>
    </w:p>
    <w:p w:rsidR="007A0E97" w:rsidRDefault="007A0E97" w:rsidP="007A0E97">
      <w:pPr>
        <w:pStyle w:val="NormalWeb"/>
        <w:spacing w:before="0" w:beforeAutospacing="0" w:after="420" w:afterAutospacing="0" w:line="420" w:lineRule="atLeast"/>
        <w:rPr>
          <w:rFonts w:ascii="Raleway" w:hAnsi="Raleway"/>
          <w:color w:val="666666"/>
        </w:rPr>
      </w:pPr>
      <w:r>
        <w:rPr>
          <w:rStyle w:val="Textoennegrita"/>
          <w:rFonts w:ascii="Raleway" w:hAnsi="Raleway"/>
          <w:color w:val="666666"/>
        </w:rPr>
        <w:t xml:space="preserve">art 1362 </w:t>
      </w:r>
      <w:proofErr w:type="spellStart"/>
      <w:r>
        <w:rPr>
          <w:rStyle w:val="Textoennegrita"/>
          <w:rFonts w:ascii="Raleway" w:hAnsi="Raleway"/>
          <w:color w:val="666666"/>
        </w:rPr>
        <w:t>cc</w:t>
      </w:r>
      <w:proofErr w:type="spellEnd"/>
    </w:p>
    <w:p w:rsidR="00216F14" w:rsidRDefault="00216F14"/>
    <w:sectPr w:rsidR="00216F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97"/>
    <w:rsid w:val="00216F14"/>
    <w:rsid w:val="007A0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C4DA-F313-41D9-A669-26129ECC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0E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0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743</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ENCARNACIÓN MORENO ROMERO</dc:creator>
  <cp:keywords/>
  <dc:description/>
  <cp:lastModifiedBy>ENCARNACIÓN MORENO ROMERO</cp:lastModifiedBy>
  <cp:revision>1</cp:revision>
  <dcterms:created xsi:type="dcterms:W3CDTF">2023-02-23T16:25:00Z</dcterms:created>
  <dcterms:modified xsi:type="dcterms:W3CDTF">2023-02-23T16:25:00Z</dcterms:modified>
</cp:coreProperties>
</file>