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040A" w14:textId="0D112E40" w:rsidR="006A1762" w:rsidRDefault="00D9451B" w:rsidP="00D9451B">
      <w:r>
        <w:t>“</w:t>
      </w:r>
      <w:r>
        <w:t>Son relaciones de tipo is a (es un) aquellas en las que una entidad se descompone en</w:t>
      </w:r>
      <w:r>
        <w:t xml:space="preserve"> </w:t>
      </w:r>
      <w:r>
        <w:t>entidades especializadas. Hay dos tipos de entidades is a: especializaciones y</w:t>
      </w:r>
      <w:r>
        <w:t xml:space="preserve"> </w:t>
      </w:r>
      <w:r>
        <w:t>generalizaciones</w:t>
      </w:r>
      <w:r>
        <w:t>”</w:t>
      </w:r>
      <w:r w:rsidRPr="006A1762">
        <w:t xml:space="preserve"> </w:t>
      </w:r>
      <w:r w:rsidR="006A1762" w:rsidRPr="006A1762">
        <w:t>(Sánchez, 2004, pág. </w:t>
      </w:r>
      <w:r w:rsidR="006A1762">
        <w:t>2</w:t>
      </w:r>
      <w:r w:rsidR="006A1762" w:rsidRPr="006A1762">
        <w:t>1).</w:t>
      </w:r>
    </w:p>
    <w:sectPr w:rsidR="006A176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7FDA" w14:textId="77777777" w:rsidR="00413C5E" w:rsidRDefault="00413C5E" w:rsidP="007A2038">
      <w:pPr>
        <w:spacing w:after="0" w:line="240" w:lineRule="auto"/>
      </w:pPr>
      <w:r>
        <w:separator/>
      </w:r>
    </w:p>
  </w:endnote>
  <w:endnote w:type="continuationSeparator" w:id="0">
    <w:p w14:paraId="5313DAC6" w14:textId="77777777" w:rsidR="00413C5E" w:rsidRDefault="00413C5E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376" w14:textId="77777777" w:rsidR="00413C5E" w:rsidRDefault="00413C5E" w:rsidP="007A2038">
      <w:pPr>
        <w:spacing w:after="0" w:line="240" w:lineRule="auto"/>
      </w:pPr>
      <w:r>
        <w:separator/>
      </w:r>
    </w:p>
  </w:footnote>
  <w:footnote w:type="continuationSeparator" w:id="0">
    <w:p w14:paraId="0D25C481" w14:textId="77777777" w:rsidR="00413C5E" w:rsidRDefault="00413C5E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13C5E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A1762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51B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2023-03-11T05:47:00Z</dcterms:created>
  <dcterms:modified xsi:type="dcterms:W3CDTF">2023-03-11T05:47:00Z</dcterms:modified>
</cp:coreProperties>
</file>