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3" w:rsidRDefault="008C7D2F">
      <w:r w:rsidRPr="008C7D2F">
        <w:t>Intellectual property regimes can affect a company's incentive to be open and transparent. If privacy and secrecy are key parts of a business's profit model, that business may be less inclined to share information. The link below leads to a talk by Dr. Jane Calvert, a sociologist, on ownership, sharing and community-building in synthetic biology.</w:t>
      </w:r>
      <w:bookmarkStart w:id="0" w:name="_GoBack"/>
      <w:bookmarkEnd w:id="0"/>
    </w:p>
    <w:sectPr w:rsidR="00985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2F"/>
    <w:rsid w:val="008C7D2F"/>
    <w:rsid w:val="0098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F77CE-CD99-4616-90E7-14EAD5C0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1</cp:revision>
  <dcterms:created xsi:type="dcterms:W3CDTF">2014-10-17T21:17:00Z</dcterms:created>
  <dcterms:modified xsi:type="dcterms:W3CDTF">2014-10-17T21:17:00Z</dcterms:modified>
</cp:coreProperties>
</file>